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99.xml" ContentType="application/vnd.openxmlformats-officedocument.drawingml.chart+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9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93.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9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0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98.xml" ContentType="application/vnd.openxmlformats-officedocument.drawingml.chart+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charts/chart96.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charts/chart10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10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Override PartName="/word/charts/chart79.xml" ContentType="application/vnd.openxmlformats-officedocument.drawingml.chart+xml"/>
  <Override PartName="/word/charts/chart97.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8E" w:rsidRDefault="00FC6A8E" w:rsidP="007B585E">
      <w:pPr>
        <w:pStyle w:val="Bezmezer"/>
      </w:pPr>
    </w:p>
    <w:p w:rsidR="00FC6A8E" w:rsidRDefault="00FC6A8E" w:rsidP="007B585E">
      <w:pPr>
        <w:pStyle w:val="Bezmezer"/>
      </w:pPr>
    </w:p>
    <w:p w:rsidR="007B585E" w:rsidRDefault="007B585E" w:rsidP="007B585E">
      <w:pPr>
        <w:pStyle w:val="Bezmezer"/>
      </w:pPr>
    </w:p>
    <w:p w:rsidR="007B585E" w:rsidRDefault="007B585E" w:rsidP="007B585E">
      <w:pPr>
        <w:pStyle w:val="Bezmezer"/>
      </w:pPr>
    </w:p>
    <w:p w:rsidR="007B585E" w:rsidRDefault="007B585E" w:rsidP="007B585E">
      <w:pPr>
        <w:pStyle w:val="Bezmezer"/>
      </w:pPr>
    </w:p>
    <w:p w:rsidR="007B585E" w:rsidRDefault="007B585E" w:rsidP="007B585E">
      <w:pPr>
        <w:pStyle w:val="Bezmezer"/>
      </w:pPr>
    </w:p>
    <w:p w:rsidR="00DA2322" w:rsidRDefault="00AC2265" w:rsidP="007B585E">
      <w:pPr>
        <w:pStyle w:val="Bezmezer"/>
        <w:jc w:val="center"/>
        <w:rPr>
          <w:b/>
          <w:sz w:val="72"/>
          <w:szCs w:val="72"/>
        </w:rPr>
      </w:pPr>
      <w:r w:rsidRPr="007B585E">
        <w:rPr>
          <w:b/>
          <w:sz w:val="72"/>
          <w:szCs w:val="72"/>
        </w:rPr>
        <w:t>M</w:t>
      </w:r>
      <w:r w:rsidR="007B585E" w:rsidRPr="007B585E">
        <w:rPr>
          <w:sz w:val="36"/>
          <w:szCs w:val="36"/>
        </w:rPr>
        <w:t>ístní</w:t>
      </w:r>
      <w:r w:rsidRPr="007B585E">
        <w:rPr>
          <w:b/>
          <w:sz w:val="72"/>
          <w:szCs w:val="72"/>
        </w:rPr>
        <w:t xml:space="preserve"> A</w:t>
      </w:r>
      <w:r w:rsidR="007B585E" w:rsidRPr="007B585E">
        <w:rPr>
          <w:sz w:val="36"/>
          <w:szCs w:val="36"/>
        </w:rPr>
        <w:t>k</w:t>
      </w:r>
      <w:r w:rsidR="007B585E" w:rsidRPr="007B585E">
        <w:rPr>
          <w:rFonts w:hint="eastAsia"/>
          <w:sz w:val="36"/>
          <w:szCs w:val="36"/>
        </w:rPr>
        <w:t>č</w:t>
      </w:r>
      <w:r w:rsidR="007B585E" w:rsidRPr="007B585E">
        <w:rPr>
          <w:sz w:val="36"/>
          <w:szCs w:val="36"/>
        </w:rPr>
        <w:t>ní</w:t>
      </w:r>
      <w:r w:rsidRPr="007B585E">
        <w:rPr>
          <w:b/>
          <w:sz w:val="72"/>
          <w:szCs w:val="72"/>
        </w:rPr>
        <w:t xml:space="preserve"> P</w:t>
      </w:r>
      <w:r w:rsidR="007B585E" w:rsidRPr="007B585E">
        <w:rPr>
          <w:sz w:val="36"/>
          <w:szCs w:val="36"/>
        </w:rPr>
        <w:t>lán</w:t>
      </w:r>
      <w:r w:rsidR="000652DE" w:rsidRPr="007B585E">
        <w:rPr>
          <w:b/>
          <w:sz w:val="72"/>
          <w:szCs w:val="72"/>
        </w:rPr>
        <w:t xml:space="preserve"> </w:t>
      </w:r>
    </w:p>
    <w:p w:rsidR="000652DE" w:rsidRPr="007B585E" w:rsidRDefault="00DA2322" w:rsidP="007B585E">
      <w:pPr>
        <w:pStyle w:val="Bezmezer"/>
        <w:jc w:val="center"/>
        <w:rPr>
          <w:b/>
          <w:sz w:val="56"/>
          <w:szCs w:val="56"/>
        </w:rPr>
      </w:pPr>
      <w:r>
        <w:rPr>
          <w:b/>
          <w:sz w:val="56"/>
          <w:szCs w:val="56"/>
        </w:rPr>
        <w:t>ROZVOJE</w:t>
      </w:r>
      <w:r w:rsidR="007B585E" w:rsidRPr="007B585E">
        <w:rPr>
          <w:b/>
          <w:sz w:val="56"/>
          <w:szCs w:val="56"/>
        </w:rPr>
        <w:t xml:space="preserve"> VZD</w:t>
      </w:r>
      <w:r w:rsidR="007B585E" w:rsidRPr="007B585E">
        <w:rPr>
          <w:rFonts w:hint="eastAsia"/>
          <w:b/>
          <w:sz w:val="56"/>
          <w:szCs w:val="56"/>
        </w:rPr>
        <w:t>Ě</w:t>
      </w:r>
      <w:r w:rsidR="007B585E" w:rsidRPr="007B585E">
        <w:rPr>
          <w:b/>
          <w:sz w:val="56"/>
          <w:szCs w:val="56"/>
        </w:rPr>
        <w:t>LÁVÁNÍ</w:t>
      </w:r>
    </w:p>
    <w:p w:rsidR="000652DE" w:rsidRPr="007B585E" w:rsidRDefault="007B585E" w:rsidP="007B585E">
      <w:pPr>
        <w:pStyle w:val="Bezmezer"/>
        <w:jc w:val="center"/>
        <w:rPr>
          <w:b/>
          <w:sz w:val="56"/>
          <w:szCs w:val="56"/>
        </w:rPr>
      </w:pPr>
      <w:r w:rsidRPr="007B585E">
        <w:rPr>
          <w:b/>
          <w:sz w:val="56"/>
          <w:szCs w:val="56"/>
        </w:rPr>
        <w:t>V</w:t>
      </w:r>
      <w:bookmarkStart w:id="0" w:name="_GoBack"/>
      <w:bookmarkEnd w:id="0"/>
      <w:r w:rsidRPr="007B585E">
        <w:rPr>
          <w:b/>
          <w:sz w:val="56"/>
          <w:szCs w:val="56"/>
        </w:rPr>
        <w:t> SO ORP KUTNÁ HORA</w:t>
      </w:r>
    </w:p>
    <w:p w:rsidR="006300C3" w:rsidRDefault="006300C3" w:rsidP="007B585E">
      <w:pPr>
        <w:pStyle w:val="Bezmezer"/>
      </w:pPr>
    </w:p>
    <w:p w:rsidR="00AC133E" w:rsidRDefault="00AC133E" w:rsidP="007B585E">
      <w:pPr>
        <w:pStyle w:val="Bezmezer"/>
      </w:pPr>
    </w:p>
    <w:p w:rsidR="006300C3" w:rsidRDefault="006300C3" w:rsidP="007B585E">
      <w:pPr>
        <w:pStyle w:val="Bezmezer"/>
      </w:pPr>
    </w:p>
    <w:p w:rsidR="006300C3" w:rsidRDefault="006300C3" w:rsidP="007B585E">
      <w:pPr>
        <w:pStyle w:val="Bezmezer"/>
      </w:pPr>
    </w:p>
    <w:p w:rsidR="006300C3" w:rsidRDefault="006300C3" w:rsidP="007B585E">
      <w:pPr>
        <w:pStyle w:val="Bezmezer"/>
      </w:pPr>
    </w:p>
    <w:p w:rsidR="006300C3" w:rsidRDefault="006300C3" w:rsidP="007B585E">
      <w:pPr>
        <w:pStyle w:val="Bezmezer"/>
      </w:pPr>
    </w:p>
    <w:p w:rsidR="006300C3" w:rsidRDefault="006300C3" w:rsidP="007B585E">
      <w:pPr>
        <w:pStyle w:val="Bezmezer"/>
      </w:pPr>
    </w:p>
    <w:p w:rsidR="006300C3" w:rsidRDefault="006300C3" w:rsidP="007B585E">
      <w:pPr>
        <w:pStyle w:val="Bezmezer"/>
      </w:pPr>
    </w:p>
    <w:p w:rsidR="007B585E" w:rsidRDefault="007B585E">
      <w:pPr>
        <w:spacing w:before="0" w:after="200" w:line="276" w:lineRule="auto"/>
        <w:jc w:val="left"/>
        <w:rPr>
          <w:rFonts w:eastAsiaTheme="majorEastAsia" w:cstheme="majorBidi"/>
          <w:b/>
          <w:bCs/>
          <w:caps w:val="0"/>
          <w:sz w:val="32"/>
          <w:szCs w:val="28"/>
        </w:rPr>
      </w:pPr>
      <w:r>
        <w:br w:type="page"/>
      </w:r>
    </w:p>
    <w:p w:rsidR="00A67EE5" w:rsidRDefault="006265A6" w:rsidP="00A3463A">
      <w:pPr>
        <w:pStyle w:val="Nadpis1"/>
        <w:tabs>
          <w:tab w:val="clear" w:pos="426"/>
          <w:tab w:val="left" w:pos="284"/>
        </w:tabs>
        <w:ind w:left="0" w:hanging="5"/>
      </w:pPr>
      <w:bookmarkStart w:id="1" w:name="_Toc465592551"/>
      <w:r>
        <w:lastRenderedPageBreak/>
        <w:t>O</w:t>
      </w:r>
      <w:r w:rsidR="00A67EE5">
        <w:t>bsah</w:t>
      </w:r>
      <w:bookmarkEnd w:id="1"/>
    </w:p>
    <w:p w:rsidR="005D3887" w:rsidRDefault="00FA6530">
      <w:pPr>
        <w:pStyle w:val="Obsah1"/>
        <w:tabs>
          <w:tab w:val="left" w:pos="880"/>
          <w:tab w:val="right" w:leader="dot" w:pos="9060"/>
        </w:tabs>
        <w:rPr>
          <w:rFonts w:asciiTheme="minorHAnsi" w:eastAsiaTheme="minorEastAsia" w:hAnsiTheme="minorHAnsi"/>
          <w:noProof/>
          <w:lang w:eastAsia="cs-CZ"/>
        </w:rPr>
      </w:pPr>
      <w:r>
        <w:fldChar w:fldCharType="begin"/>
      </w:r>
      <w:r w:rsidR="00A67EE5">
        <w:instrText xml:space="preserve"> TOC \o "1-4" \h \z \u </w:instrText>
      </w:r>
      <w:r>
        <w:fldChar w:fldCharType="separate"/>
      </w:r>
      <w:hyperlink w:anchor="_Toc465592551" w:history="1">
        <w:r w:rsidR="005D3887" w:rsidRPr="00A02129">
          <w:rPr>
            <w:rStyle w:val="Hypertextovodkaz"/>
            <w:noProof/>
          </w:rPr>
          <w:t>1</w:t>
        </w:r>
        <w:r w:rsidR="005D3887">
          <w:rPr>
            <w:rFonts w:asciiTheme="minorHAnsi" w:eastAsiaTheme="minorEastAsia" w:hAnsiTheme="minorHAnsi"/>
            <w:noProof/>
            <w:lang w:eastAsia="cs-CZ"/>
          </w:rPr>
          <w:tab/>
        </w:r>
        <w:r w:rsidR="005D3887" w:rsidRPr="00A02129">
          <w:rPr>
            <w:rStyle w:val="Hypertextovodkaz"/>
            <w:noProof/>
          </w:rPr>
          <w:t>Obsah</w:t>
        </w:r>
        <w:r w:rsidR="005D3887">
          <w:rPr>
            <w:noProof/>
            <w:webHidden/>
          </w:rPr>
          <w:tab/>
        </w:r>
        <w:r w:rsidR="005D3887">
          <w:rPr>
            <w:noProof/>
            <w:webHidden/>
          </w:rPr>
          <w:fldChar w:fldCharType="begin"/>
        </w:r>
        <w:r w:rsidR="005D3887">
          <w:rPr>
            <w:noProof/>
            <w:webHidden/>
          </w:rPr>
          <w:instrText xml:space="preserve"> PAGEREF _Toc465592551 \h </w:instrText>
        </w:r>
        <w:r w:rsidR="005D3887">
          <w:rPr>
            <w:noProof/>
            <w:webHidden/>
          </w:rPr>
        </w:r>
        <w:r w:rsidR="005D3887">
          <w:rPr>
            <w:noProof/>
            <w:webHidden/>
          </w:rPr>
          <w:fldChar w:fldCharType="separate"/>
        </w:r>
        <w:r w:rsidR="005D3887">
          <w:rPr>
            <w:noProof/>
            <w:webHidden/>
          </w:rPr>
          <w:t>2</w:t>
        </w:r>
        <w:r w:rsidR="005D3887">
          <w:rPr>
            <w:noProof/>
            <w:webHidden/>
          </w:rPr>
          <w:fldChar w:fldCharType="end"/>
        </w:r>
      </w:hyperlink>
    </w:p>
    <w:p w:rsidR="005D3887" w:rsidRDefault="005D3887">
      <w:pPr>
        <w:pStyle w:val="Obsah1"/>
        <w:tabs>
          <w:tab w:val="left" w:pos="880"/>
          <w:tab w:val="right" w:leader="dot" w:pos="9060"/>
        </w:tabs>
        <w:rPr>
          <w:rFonts w:asciiTheme="minorHAnsi" w:eastAsiaTheme="minorEastAsia" w:hAnsiTheme="minorHAnsi"/>
          <w:noProof/>
          <w:lang w:eastAsia="cs-CZ"/>
        </w:rPr>
      </w:pPr>
      <w:hyperlink w:anchor="_Toc465592552" w:history="1">
        <w:r w:rsidRPr="00A02129">
          <w:rPr>
            <w:rStyle w:val="Hypertextovodkaz"/>
            <w:noProof/>
          </w:rPr>
          <w:t>2</w:t>
        </w:r>
        <w:r>
          <w:rPr>
            <w:rFonts w:asciiTheme="minorHAnsi" w:eastAsiaTheme="minorEastAsia" w:hAnsiTheme="minorHAnsi"/>
            <w:noProof/>
            <w:lang w:eastAsia="cs-CZ"/>
          </w:rPr>
          <w:tab/>
        </w:r>
        <w:r w:rsidRPr="00A02129">
          <w:rPr>
            <w:rStyle w:val="Hypertextovodkaz"/>
            <w:noProof/>
          </w:rPr>
          <w:t>Představení MAP</w:t>
        </w:r>
        <w:r>
          <w:rPr>
            <w:noProof/>
            <w:webHidden/>
          </w:rPr>
          <w:tab/>
        </w:r>
        <w:r>
          <w:rPr>
            <w:noProof/>
            <w:webHidden/>
          </w:rPr>
          <w:fldChar w:fldCharType="begin"/>
        </w:r>
        <w:r>
          <w:rPr>
            <w:noProof/>
            <w:webHidden/>
          </w:rPr>
          <w:instrText xml:space="preserve"> PAGEREF _Toc465592552 \h </w:instrText>
        </w:r>
        <w:r>
          <w:rPr>
            <w:noProof/>
            <w:webHidden/>
          </w:rPr>
        </w:r>
        <w:r>
          <w:rPr>
            <w:noProof/>
            <w:webHidden/>
          </w:rPr>
          <w:fldChar w:fldCharType="separate"/>
        </w:r>
        <w:r>
          <w:rPr>
            <w:noProof/>
            <w:webHidden/>
          </w:rPr>
          <w:t>4</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53" w:history="1">
        <w:r w:rsidRPr="00A02129">
          <w:rPr>
            <w:rStyle w:val="Hypertextovodkaz"/>
            <w:noProof/>
          </w:rPr>
          <w:t>2.1</w:t>
        </w:r>
        <w:r>
          <w:rPr>
            <w:rFonts w:asciiTheme="minorHAnsi" w:eastAsiaTheme="minorEastAsia" w:hAnsiTheme="minorHAnsi"/>
            <w:noProof/>
            <w:lang w:eastAsia="cs-CZ"/>
          </w:rPr>
          <w:tab/>
        </w:r>
        <w:r w:rsidRPr="00A02129">
          <w:rPr>
            <w:rStyle w:val="Hypertextovodkaz"/>
            <w:noProof/>
          </w:rPr>
          <w:t>Důvody realizace MAP</w:t>
        </w:r>
        <w:r>
          <w:rPr>
            <w:noProof/>
            <w:webHidden/>
          </w:rPr>
          <w:tab/>
        </w:r>
        <w:r>
          <w:rPr>
            <w:noProof/>
            <w:webHidden/>
          </w:rPr>
          <w:fldChar w:fldCharType="begin"/>
        </w:r>
        <w:r>
          <w:rPr>
            <w:noProof/>
            <w:webHidden/>
          </w:rPr>
          <w:instrText xml:space="preserve"> PAGEREF _Toc465592553 \h </w:instrText>
        </w:r>
        <w:r>
          <w:rPr>
            <w:noProof/>
            <w:webHidden/>
          </w:rPr>
        </w:r>
        <w:r>
          <w:rPr>
            <w:noProof/>
            <w:webHidden/>
          </w:rPr>
          <w:fldChar w:fldCharType="separate"/>
        </w:r>
        <w:r>
          <w:rPr>
            <w:noProof/>
            <w:webHidden/>
          </w:rPr>
          <w:t>4</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54" w:history="1">
        <w:r w:rsidRPr="00A02129">
          <w:rPr>
            <w:rStyle w:val="Hypertextovodkaz"/>
            <w:noProof/>
          </w:rPr>
          <w:t>2.2</w:t>
        </w:r>
        <w:r>
          <w:rPr>
            <w:rFonts w:asciiTheme="minorHAnsi" w:eastAsiaTheme="minorEastAsia" w:hAnsiTheme="minorHAnsi"/>
            <w:noProof/>
            <w:lang w:eastAsia="cs-CZ"/>
          </w:rPr>
          <w:tab/>
        </w:r>
        <w:r w:rsidRPr="00A02129">
          <w:rPr>
            <w:rStyle w:val="Hypertextovodkaz"/>
            <w:noProof/>
          </w:rPr>
          <w:t>Co je to MAP</w:t>
        </w:r>
        <w:r>
          <w:rPr>
            <w:noProof/>
            <w:webHidden/>
          </w:rPr>
          <w:tab/>
        </w:r>
        <w:r>
          <w:rPr>
            <w:noProof/>
            <w:webHidden/>
          </w:rPr>
          <w:fldChar w:fldCharType="begin"/>
        </w:r>
        <w:r>
          <w:rPr>
            <w:noProof/>
            <w:webHidden/>
          </w:rPr>
          <w:instrText xml:space="preserve"> PAGEREF _Toc465592554 \h </w:instrText>
        </w:r>
        <w:r>
          <w:rPr>
            <w:noProof/>
            <w:webHidden/>
          </w:rPr>
        </w:r>
        <w:r>
          <w:rPr>
            <w:noProof/>
            <w:webHidden/>
          </w:rPr>
          <w:fldChar w:fldCharType="separate"/>
        </w:r>
        <w:r>
          <w:rPr>
            <w:noProof/>
            <w:webHidden/>
          </w:rPr>
          <w:t>4</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55" w:history="1">
        <w:r w:rsidRPr="00A02129">
          <w:rPr>
            <w:rStyle w:val="Hypertextovodkaz"/>
            <w:noProof/>
          </w:rPr>
          <w:t>2.3</w:t>
        </w:r>
        <w:r>
          <w:rPr>
            <w:rFonts w:asciiTheme="minorHAnsi" w:eastAsiaTheme="minorEastAsia" w:hAnsiTheme="minorHAnsi"/>
            <w:noProof/>
            <w:lang w:eastAsia="cs-CZ"/>
          </w:rPr>
          <w:tab/>
        </w:r>
        <w:r w:rsidRPr="00A02129">
          <w:rPr>
            <w:rStyle w:val="Hypertextovodkaz"/>
            <w:noProof/>
          </w:rPr>
          <w:t>Rámcový obsah MAP</w:t>
        </w:r>
        <w:r>
          <w:rPr>
            <w:noProof/>
            <w:webHidden/>
          </w:rPr>
          <w:tab/>
        </w:r>
        <w:r>
          <w:rPr>
            <w:noProof/>
            <w:webHidden/>
          </w:rPr>
          <w:fldChar w:fldCharType="begin"/>
        </w:r>
        <w:r>
          <w:rPr>
            <w:noProof/>
            <w:webHidden/>
          </w:rPr>
          <w:instrText xml:space="preserve"> PAGEREF _Toc465592555 \h </w:instrText>
        </w:r>
        <w:r>
          <w:rPr>
            <w:noProof/>
            <w:webHidden/>
          </w:rPr>
        </w:r>
        <w:r>
          <w:rPr>
            <w:noProof/>
            <w:webHidden/>
          </w:rPr>
          <w:fldChar w:fldCharType="separate"/>
        </w:r>
        <w:r>
          <w:rPr>
            <w:noProof/>
            <w:webHidden/>
          </w:rPr>
          <w:t>5</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56" w:history="1">
        <w:r w:rsidRPr="00A02129">
          <w:rPr>
            <w:rStyle w:val="Hypertextovodkaz"/>
            <w:noProof/>
          </w:rPr>
          <w:t>2.4</w:t>
        </w:r>
        <w:r>
          <w:rPr>
            <w:rFonts w:asciiTheme="minorHAnsi" w:eastAsiaTheme="minorEastAsia" w:hAnsiTheme="minorHAnsi"/>
            <w:noProof/>
            <w:lang w:eastAsia="cs-CZ"/>
          </w:rPr>
          <w:tab/>
        </w:r>
        <w:r w:rsidRPr="00A02129">
          <w:rPr>
            <w:rStyle w:val="Hypertextovodkaz"/>
            <w:noProof/>
          </w:rPr>
          <w:t>Struktura MAP</w:t>
        </w:r>
        <w:r>
          <w:rPr>
            <w:noProof/>
            <w:webHidden/>
          </w:rPr>
          <w:tab/>
        </w:r>
        <w:r>
          <w:rPr>
            <w:noProof/>
            <w:webHidden/>
          </w:rPr>
          <w:fldChar w:fldCharType="begin"/>
        </w:r>
        <w:r>
          <w:rPr>
            <w:noProof/>
            <w:webHidden/>
          </w:rPr>
          <w:instrText xml:space="preserve"> PAGEREF _Toc465592556 \h </w:instrText>
        </w:r>
        <w:r>
          <w:rPr>
            <w:noProof/>
            <w:webHidden/>
          </w:rPr>
        </w:r>
        <w:r>
          <w:rPr>
            <w:noProof/>
            <w:webHidden/>
          </w:rPr>
          <w:fldChar w:fldCharType="separate"/>
        </w:r>
        <w:r>
          <w:rPr>
            <w:noProof/>
            <w:webHidden/>
          </w:rPr>
          <w:t>5</w:t>
        </w:r>
        <w:r>
          <w:rPr>
            <w:noProof/>
            <w:webHidden/>
          </w:rPr>
          <w:fldChar w:fldCharType="end"/>
        </w:r>
      </w:hyperlink>
    </w:p>
    <w:p w:rsidR="005D3887" w:rsidRDefault="005D3887">
      <w:pPr>
        <w:pStyle w:val="Obsah1"/>
        <w:tabs>
          <w:tab w:val="left" w:pos="880"/>
          <w:tab w:val="right" w:leader="dot" w:pos="9060"/>
        </w:tabs>
        <w:rPr>
          <w:rFonts w:asciiTheme="minorHAnsi" w:eastAsiaTheme="minorEastAsia" w:hAnsiTheme="minorHAnsi"/>
          <w:noProof/>
          <w:lang w:eastAsia="cs-CZ"/>
        </w:rPr>
      </w:pPr>
      <w:hyperlink w:anchor="_Toc465592557" w:history="1">
        <w:r w:rsidRPr="00A02129">
          <w:rPr>
            <w:rStyle w:val="Hypertextovodkaz"/>
            <w:noProof/>
          </w:rPr>
          <w:t>3</w:t>
        </w:r>
        <w:r>
          <w:rPr>
            <w:rFonts w:asciiTheme="minorHAnsi" w:eastAsiaTheme="minorEastAsia" w:hAnsiTheme="minorHAnsi"/>
            <w:noProof/>
            <w:lang w:eastAsia="cs-CZ"/>
          </w:rPr>
          <w:tab/>
        </w:r>
        <w:r w:rsidRPr="00A02129">
          <w:rPr>
            <w:rStyle w:val="Hypertextovodkaz"/>
            <w:noProof/>
          </w:rPr>
          <w:t>Stručná charakteristika SO ORP Kutná Hora</w:t>
        </w:r>
        <w:r>
          <w:rPr>
            <w:noProof/>
            <w:webHidden/>
          </w:rPr>
          <w:tab/>
        </w:r>
        <w:r>
          <w:rPr>
            <w:noProof/>
            <w:webHidden/>
          </w:rPr>
          <w:fldChar w:fldCharType="begin"/>
        </w:r>
        <w:r>
          <w:rPr>
            <w:noProof/>
            <w:webHidden/>
          </w:rPr>
          <w:instrText xml:space="preserve"> PAGEREF _Toc465592557 \h </w:instrText>
        </w:r>
        <w:r>
          <w:rPr>
            <w:noProof/>
            <w:webHidden/>
          </w:rPr>
        </w:r>
        <w:r>
          <w:rPr>
            <w:noProof/>
            <w:webHidden/>
          </w:rPr>
          <w:fldChar w:fldCharType="separate"/>
        </w:r>
        <w:r>
          <w:rPr>
            <w:noProof/>
            <w:webHidden/>
          </w:rPr>
          <w:t>6</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58" w:history="1">
        <w:r w:rsidRPr="00A02129">
          <w:rPr>
            <w:rStyle w:val="Hypertextovodkaz"/>
            <w:noProof/>
          </w:rPr>
          <w:t>3.1</w:t>
        </w:r>
        <w:r>
          <w:rPr>
            <w:rFonts w:asciiTheme="minorHAnsi" w:eastAsiaTheme="minorEastAsia" w:hAnsiTheme="minorHAnsi"/>
            <w:noProof/>
            <w:lang w:eastAsia="cs-CZ"/>
          </w:rPr>
          <w:tab/>
        </w:r>
        <w:r w:rsidRPr="00A02129">
          <w:rPr>
            <w:rStyle w:val="Hypertextovodkaz"/>
            <w:noProof/>
          </w:rPr>
          <w:t>Identifikace správního obvodu</w:t>
        </w:r>
        <w:r>
          <w:rPr>
            <w:noProof/>
            <w:webHidden/>
          </w:rPr>
          <w:tab/>
        </w:r>
        <w:r>
          <w:rPr>
            <w:noProof/>
            <w:webHidden/>
          </w:rPr>
          <w:fldChar w:fldCharType="begin"/>
        </w:r>
        <w:r>
          <w:rPr>
            <w:noProof/>
            <w:webHidden/>
          </w:rPr>
          <w:instrText xml:space="preserve"> PAGEREF _Toc465592558 \h </w:instrText>
        </w:r>
        <w:r>
          <w:rPr>
            <w:noProof/>
            <w:webHidden/>
          </w:rPr>
        </w:r>
        <w:r>
          <w:rPr>
            <w:noProof/>
            <w:webHidden/>
          </w:rPr>
          <w:fldChar w:fldCharType="separate"/>
        </w:r>
        <w:r>
          <w:rPr>
            <w:noProof/>
            <w:webHidden/>
          </w:rPr>
          <w:t>6</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59" w:history="1">
        <w:r w:rsidRPr="00A02129">
          <w:rPr>
            <w:rStyle w:val="Hypertextovodkaz"/>
            <w:noProof/>
          </w:rPr>
          <w:t>3.2</w:t>
        </w:r>
        <w:r>
          <w:rPr>
            <w:rFonts w:asciiTheme="minorHAnsi" w:eastAsiaTheme="minorEastAsia" w:hAnsiTheme="minorHAnsi"/>
            <w:noProof/>
            <w:lang w:eastAsia="cs-CZ"/>
          </w:rPr>
          <w:tab/>
        </w:r>
        <w:r w:rsidRPr="00A02129">
          <w:rPr>
            <w:rStyle w:val="Hypertextovodkaz"/>
            <w:noProof/>
          </w:rPr>
          <w:t>Obce a obyvatelstvo</w:t>
        </w:r>
        <w:r>
          <w:rPr>
            <w:noProof/>
            <w:webHidden/>
          </w:rPr>
          <w:tab/>
        </w:r>
        <w:r>
          <w:rPr>
            <w:noProof/>
            <w:webHidden/>
          </w:rPr>
          <w:fldChar w:fldCharType="begin"/>
        </w:r>
        <w:r>
          <w:rPr>
            <w:noProof/>
            <w:webHidden/>
          </w:rPr>
          <w:instrText xml:space="preserve"> PAGEREF _Toc465592559 \h </w:instrText>
        </w:r>
        <w:r>
          <w:rPr>
            <w:noProof/>
            <w:webHidden/>
          </w:rPr>
        </w:r>
        <w:r>
          <w:rPr>
            <w:noProof/>
            <w:webHidden/>
          </w:rPr>
          <w:fldChar w:fldCharType="separate"/>
        </w:r>
        <w:r>
          <w:rPr>
            <w:noProof/>
            <w:webHidden/>
          </w:rPr>
          <w:t>6</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60" w:history="1">
        <w:r w:rsidRPr="00A02129">
          <w:rPr>
            <w:rStyle w:val="Hypertextovodkaz"/>
            <w:noProof/>
          </w:rPr>
          <w:t>3.3</w:t>
        </w:r>
        <w:r>
          <w:rPr>
            <w:rFonts w:asciiTheme="minorHAnsi" w:eastAsiaTheme="minorEastAsia" w:hAnsiTheme="minorHAnsi"/>
            <w:noProof/>
            <w:lang w:eastAsia="cs-CZ"/>
          </w:rPr>
          <w:tab/>
        </w:r>
        <w:r w:rsidRPr="00A02129">
          <w:rPr>
            <w:rStyle w:val="Hypertextovodkaz"/>
            <w:noProof/>
          </w:rPr>
          <w:t>Obecná charakteristika školských zařízení</w:t>
        </w:r>
        <w:r>
          <w:rPr>
            <w:noProof/>
            <w:webHidden/>
          </w:rPr>
          <w:tab/>
        </w:r>
        <w:r>
          <w:rPr>
            <w:noProof/>
            <w:webHidden/>
          </w:rPr>
          <w:fldChar w:fldCharType="begin"/>
        </w:r>
        <w:r>
          <w:rPr>
            <w:noProof/>
            <w:webHidden/>
          </w:rPr>
          <w:instrText xml:space="preserve"> PAGEREF _Toc465592560 \h </w:instrText>
        </w:r>
        <w:r>
          <w:rPr>
            <w:noProof/>
            <w:webHidden/>
          </w:rPr>
        </w:r>
        <w:r>
          <w:rPr>
            <w:noProof/>
            <w:webHidden/>
          </w:rPr>
          <w:fldChar w:fldCharType="separate"/>
        </w:r>
        <w:r>
          <w:rPr>
            <w:noProof/>
            <w:webHidden/>
          </w:rPr>
          <w:t>7</w:t>
        </w:r>
        <w:r>
          <w:rPr>
            <w:noProof/>
            <w:webHidden/>
          </w:rPr>
          <w:fldChar w:fldCharType="end"/>
        </w:r>
      </w:hyperlink>
    </w:p>
    <w:p w:rsidR="005D3887" w:rsidRDefault="005D3887">
      <w:pPr>
        <w:pStyle w:val="Obsah1"/>
        <w:tabs>
          <w:tab w:val="left" w:pos="880"/>
          <w:tab w:val="right" w:leader="dot" w:pos="9060"/>
        </w:tabs>
        <w:rPr>
          <w:rFonts w:asciiTheme="minorHAnsi" w:eastAsiaTheme="minorEastAsia" w:hAnsiTheme="minorHAnsi"/>
          <w:noProof/>
          <w:lang w:eastAsia="cs-CZ"/>
        </w:rPr>
      </w:pPr>
      <w:hyperlink w:anchor="_Toc465592561" w:history="1">
        <w:r w:rsidRPr="00A02129">
          <w:rPr>
            <w:rStyle w:val="Hypertextovodkaz"/>
            <w:noProof/>
          </w:rPr>
          <w:t>4</w:t>
        </w:r>
        <w:r>
          <w:rPr>
            <w:rFonts w:asciiTheme="minorHAnsi" w:eastAsiaTheme="minorEastAsia" w:hAnsiTheme="minorHAnsi"/>
            <w:noProof/>
            <w:lang w:eastAsia="cs-CZ"/>
          </w:rPr>
          <w:tab/>
        </w:r>
        <w:r w:rsidRPr="00A02129">
          <w:rPr>
            <w:rStyle w:val="Hypertextovodkaz"/>
            <w:noProof/>
          </w:rPr>
          <w:t>Analytická část</w:t>
        </w:r>
        <w:r>
          <w:rPr>
            <w:noProof/>
            <w:webHidden/>
          </w:rPr>
          <w:tab/>
        </w:r>
        <w:r>
          <w:rPr>
            <w:noProof/>
            <w:webHidden/>
          </w:rPr>
          <w:fldChar w:fldCharType="begin"/>
        </w:r>
        <w:r>
          <w:rPr>
            <w:noProof/>
            <w:webHidden/>
          </w:rPr>
          <w:instrText xml:space="preserve"> PAGEREF _Toc465592561 \h </w:instrText>
        </w:r>
        <w:r>
          <w:rPr>
            <w:noProof/>
            <w:webHidden/>
          </w:rPr>
        </w:r>
        <w:r>
          <w:rPr>
            <w:noProof/>
            <w:webHidden/>
          </w:rPr>
          <w:fldChar w:fldCharType="separate"/>
        </w:r>
        <w:r>
          <w:rPr>
            <w:noProof/>
            <w:webHidden/>
          </w:rPr>
          <w:t>8</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62" w:history="1">
        <w:r w:rsidRPr="00A02129">
          <w:rPr>
            <w:rStyle w:val="Hypertextovodkaz"/>
            <w:noProof/>
          </w:rPr>
          <w:t>4.1</w:t>
        </w:r>
        <w:r>
          <w:rPr>
            <w:rFonts w:asciiTheme="minorHAnsi" w:eastAsiaTheme="minorEastAsia" w:hAnsiTheme="minorHAnsi"/>
            <w:noProof/>
            <w:lang w:eastAsia="cs-CZ"/>
          </w:rPr>
          <w:tab/>
        </w:r>
        <w:r w:rsidRPr="00A02129">
          <w:rPr>
            <w:rStyle w:val="Hypertextovodkaz"/>
            <w:noProof/>
          </w:rPr>
          <w:t>Vyhodnocení dotazníkového šetření</w:t>
        </w:r>
        <w:r>
          <w:rPr>
            <w:noProof/>
            <w:webHidden/>
          </w:rPr>
          <w:tab/>
        </w:r>
        <w:r>
          <w:rPr>
            <w:noProof/>
            <w:webHidden/>
          </w:rPr>
          <w:fldChar w:fldCharType="begin"/>
        </w:r>
        <w:r>
          <w:rPr>
            <w:noProof/>
            <w:webHidden/>
          </w:rPr>
          <w:instrText xml:space="preserve"> PAGEREF _Toc465592562 \h </w:instrText>
        </w:r>
        <w:r>
          <w:rPr>
            <w:noProof/>
            <w:webHidden/>
          </w:rPr>
        </w:r>
        <w:r>
          <w:rPr>
            <w:noProof/>
            <w:webHidden/>
          </w:rPr>
          <w:fldChar w:fldCharType="separate"/>
        </w:r>
        <w:r>
          <w:rPr>
            <w:noProof/>
            <w:webHidden/>
          </w:rPr>
          <w:t>8</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63" w:history="1">
        <w:r w:rsidRPr="00A02129">
          <w:rPr>
            <w:rStyle w:val="Hypertextovodkaz"/>
            <w:noProof/>
          </w:rPr>
          <w:t>4.1.1</w:t>
        </w:r>
        <w:r>
          <w:rPr>
            <w:rFonts w:asciiTheme="minorHAnsi" w:hAnsiTheme="minorHAnsi"/>
            <w:noProof/>
            <w:lang w:eastAsia="cs-CZ"/>
          </w:rPr>
          <w:tab/>
        </w:r>
        <w:r w:rsidRPr="00A02129">
          <w:rPr>
            <w:rStyle w:val="Hypertextovodkaz"/>
            <w:noProof/>
          </w:rPr>
          <w:t>Mateřské školy</w:t>
        </w:r>
        <w:r>
          <w:rPr>
            <w:noProof/>
            <w:webHidden/>
          </w:rPr>
          <w:tab/>
        </w:r>
        <w:r>
          <w:rPr>
            <w:noProof/>
            <w:webHidden/>
          </w:rPr>
          <w:fldChar w:fldCharType="begin"/>
        </w:r>
        <w:r>
          <w:rPr>
            <w:noProof/>
            <w:webHidden/>
          </w:rPr>
          <w:instrText xml:space="preserve"> PAGEREF _Toc465592563 \h </w:instrText>
        </w:r>
        <w:r>
          <w:rPr>
            <w:noProof/>
            <w:webHidden/>
          </w:rPr>
        </w:r>
        <w:r>
          <w:rPr>
            <w:noProof/>
            <w:webHidden/>
          </w:rPr>
          <w:fldChar w:fldCharType="separate"/>
        </w:r>
        <w:r>
          <w:rPr>
            <w:noProof/>
            <w:webHidden/>
          </w:rPr>
          <w:t>8</w:t>
        </w:r>
        <w:r>
          <w:rPr>
            <w:noProof/>
            <w:webHidden/>
          </w:rPr>
          <w:fldChar w:fldCharType="end"/>
        </w:r>
      </w:hyperlink>
    </w:p>
    <w:p w:rsidR="005D3887" w:rsidRDefault="005D3887">
      <w:pPr>
        <w:pStyle w:val="Obsah4"/>
        <w:tabs>
          <w:tab w:val="left" w:pos="1100"/>
          <w:tab w:val="right" w:leader="dot" w:pos="9060"/>
        </w:tabs>
        <w:rPr>
          <w:rFonts w:asciiTheme="minorHAnsi" w:eastAsiaTheme="minorEastAsia" w:hAnsiTheme="minorHAnsi"/>
          <w:noProof/>
          <w:lang w:eastAsia="cs-CZ"/>
        </w:rPr>
      </w:pPr>
      <w:hyperlink w:anchor="_Toc465592564" w:history="1">
        <w:r w:rsidRPr="00A02129">
          <w:rPr>
            <w:rStyle w:val="Hypertextovodkaz"/>
            <w:noProof/>
          </w:rPr>
          <w:t>4.1.1.1</w:t>
        </w:r>
        <w:r>
          <w:rPr>
            <w:rFonts w:asciiTheme="minorHAnsi" w:eastAsiaTheme="minorEastAsia" w:hAnsiTheme="minorHAnsi"/>
            <w:noProof/>
            <w:lang w:eastAsia="cs-CZ"/>
          </w:rPr>
          <w:tab/>
        </w:r>
        <w:r w:rsidRPr="00A02129">
          <w:rPr>
            <w:rStyle w:val="Hypertextovodkaz"/>
            <w:noProof/>
          </w:rPr>
          <w:t>Preference hlavních oblastí rozvoje</w:t>
        </w:r>
        <w:r>
          <w:rPr>
            <w:noProof/>
            <w:webHidden/>
          </w:rPr>
          <w:tab/>
        </w:r>
        <w:r>
          <w:rPr>
            <w:noProof/>
            <w:webHidden/>
          </w:rPr>
          <w:fldChar w:fldCharType="begin"/>
        </w:r>
        <w:r>
          <w:rPr>
            <w:noProof/>
            <w:webHidden/>
          </w:rPr>
          <w:instrText xml:space="preserve"> PAGEREF _Toc465592564 \h </w:instrText>
        </w:r>
        <w:r>
          <w:rPr>
            <w:noProof/>
            <w:webHidden/>
          </w:rPr>
        </w:r>
        <w:r>
          <w:rPr>
            <w:noProof/>
            <w:webHidden/>
          </w:rPr>
          <w:fldChar w:fldCharType="separate"/>
        </w:r>
        <w:r>
          <w:rPr>
            <w:noProof/>
            <w:webHidden/>
          </w:rPr>
          <w:t>8</w:t>
        </w:r>
        <w:r>
          <w:rPr>
            <w:noProof/>
            <w:webHidden/>
          </w:rPr>
          <w:fldChar w:fldCharType="end"/>
        </w:r>
      </w:hyperlink>
    </w:p>
    <w:p w:rsidR="005D3887" w:rsidRDefault="005D3887">
      <w:pPr>
        <w:pStyle w:val="Obsah4"/>
        <w:tabs>
          <w:tab w:val="left" w:pos="1100"/>
          <w:tab w:val="right" w:leader="dot" w:pos="9060"/>
        </w:tabs>
        <w:rPr>
          <w:rFonts w:asciiTheme="minorHAnsi" w:eastAsiaTheme="minorEastAsia" w:hAnsiTheme="minorHAnsi"/>
          <w:noProof/>
          <w:lang w:eastAsia="cs-CZ"/>
        </w:rPr>
      </w:pPr>
      <w:hyperlink w:anchor="_Toc465592565" w:history="1">
        <w:r w:rsidRPr="00A02129">
          <w:rPr>
            <w:rStyle w:val="Hypertextovodkaz"/>
            <w:noProof/>
          </w:rPr>
          <w:t>4.1.1.2</w:t>
        </w:r>
        <w:r>
          <w:rPr>
            <w:rFonts w:asciiTheme="minorHAnsi" w:eastAsiaTheme="minorEastAsia" w:hAnsiTheme="minorHAnsi"/>
            <w:noProof/>
            <w:lang w:eastAsia="cs-CZ"/>
          </w:rPr>
          <w:tab/>
        </w:r>
        <w:r w:rsidRPr="00A02129">
          <w:rPr>
            <w:rStyle w:val="Hypertextovodkaz"/>
            <w:noProof/>
          </w:rPr>
          <w:t>Detailnější rozbor jednotlivých oblastí rozvoje</w:t>
        </w:r>
        <w:r>
          <w:rPr>
            <w:noProof/>
            <w:webHidden/>
          </w:rPr>
          <w:tab/>
        </w:r>
        <w:r>
          <w:rPr>
            <w:noProof/>
            <w:webHidden/>
          </w:rPr>
          <w:fldChar w:fldCharType="begin"/>
        </w:r>
        <w:r>
          <w:rPr>
            <w:noProof/>
            <w:webHidden/>
          </w:rPr>
          <w:instrText xml:space="preserve"> PAGEREF _Toc465592565 \h </w:instrText>
        </w:r>
        <w:r>
          <w:rPr>
            <w:noProof/>
            <w:webHidden/>
          </w:rPr>
        </w:r>
        <w:r>
          <w:rPr>
            <w:noProof/>
            <w:webHidden/>
          </w:rPr>
          <w:fldChar w:fldCharType="separate"/>
        </w:r>
        <w:r>
          <w:rPr>
            <w:noProof/>
            <w:webHidden/>
          </w:rPr>
          <w:t>9</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66" w:history="1">
        <w:r w:rsidRPr="00A02129">
          <w:rPr>
            <w:rStyle w:val="Hypertextovodkaz"/>
            <w:noProof/>
          </w:rPr>
          <w:t>4.1.2</w:t>
        </w:r>
        <w:r>
          <w:rPr>
            <w:rFonts w:asciiTheme="minorHAnsi" w:hAnsiTheme="minorHAnsi"/>
            <w:noProof/>
            <w:lang w:eastAsia="cs-CZ"/>
          </w:rPr>
          <w:tab/>
        </w:r>
        <w:r w:rsidRPr="00A02129">
          <w:rPr>
            <w:rStyle w:val="Hypertextovodkaz"/>
            <w:noProof/>
          </w:rPr>
          <w:t>Základní školy</w:t>
        </w:r>
        <w:r>
          <w:rPr>
            <w:noProof/>
            <w:webHidden/>
          </w:rPr>
          <w:tab/>
        </w:r>
        <w:r>
          <w:rPr>
            <w:noProof/>
            <w:webHidden/>
          </w:rPr>
          <w:fldChar w:fldCharType="begin"/>
        </w:r>
        <w:r>
          <w:rPr>
            <w:noProof/>
            <w:webHidden/>
          </w:rPr>
          <w:instrText xml:space="preserve"> PAGEREF _Toc465592566 \h </w:instrText>
        </w:r>
        <w:r>
          <w:rPr>
            <w:noProof/>
            <w:webHidden/>
          </w:rPr>
        </w:r>
        <w:r>
          <w:rPr>
            <w:noProof/>
            <w:webHidden/>
          </w:rPr>
          <w:fldChar w:fldCharType="separate"/>
        </w:r>
        <w:r>
          <w:rPr>
            <w:noProof/>
            <w:webHidden/>
          </w:rPr>
          <w:t>21</w:t>
        </w:r>
        <w:r>
          <w:rPr>
            <w:noProof/>
            <w:webHidden/>
          </w:rPr>
          <w:fldChar w:fldCharType="end"/>
        </w:r>
      </w:hyperlink>
    </w:p>
    <w:p w:rsidR="005D3887" w:rsidRDefault="005D3887">
      <w:pPr>
        <w:pStyle w:val="Obsah4"/>
        <w:tabs>
          <w:tab w:val="left" w:pos="1100"/>
          <w:tab w:val="right" w:leader="dot" w:pos="9060"/>
        </w:tabs>
        <w:rPr>
          <w:rFonts w:asciiTheme="minorHAnsi" w:eastAsiaTheme="minorEastAsia" w:hAnsiTheme="minorHAnsi"/>
          <w:noProof/>
          <w:lang w:eastAsia="cs-CZ"/>
        </w:rPr>
      </w:pPr>
      <w:hyperlink w:anchor="_Toc465592567" w:history="1">
        <w:r w:rsidRPr="00A02129">
          <w:rPr>
            <w:rStyle w:val="Hypertextovodkaz"/>
            <w:noProof/>
          </w:rPr>
          <w:t>4.1.2.1</w:t>
        </w:r>
        <w:r>
          <w:rPr>
            <w:rFonts w:asciiTheme="minorHAnsi" w:eastAsiaTheme="minorEastAsia" w:hAnsiTheme="minorHAnsi"/>
            <w:noProof/>
            <w:lang w:eastAsia="cs-CZ"/>
          </w:rPr>
          <w:tab/>
        </w:r>
        <w:r w:rsidRPr="00A02129">
          <w:rPr>
            <w:rStyle w:val="Hypertextovodkaz"/>
            <w:noProof/>
          </w:rPr>
          <w:t>Preference hlavních oblastí rozvoje</w:t>
        </w:r>
        <w:r>
          <w:rPr>
            <w:noProof/>
            <w:webHidden/>
          </w:rPr>
          <w:tab/>
        </w:r>
        <w:r>
          <w:rPr>
            <w:noProof/>
            <w:webHidden/>
          </w:rPr>
          <w:fldChar w:fldCharType="begin"/>
        </w:r>
        <w:r>
          <w:rPr>
            <w:noProof/>
            <w:webHidden/>
          </w:rPr>
          <w:instrText xml:space="preserve"> PAGEREF _Toc465592567 \h </w:instrText>
        </w:r>
        <w:r>
          <w:rPr>
            <w:noProof/>
            <w:webHidden/>
          </w:rPr>
        </w:r>
        <w:r>
          <w:rPr>
            <w:noProof/>
            <w:webHidden/>
          </w:rPr>
          <w:fldChar w:fldCharType="separate"/>
        </w:r>
        <w:r>
          <w:rPr>
            <w:noProof/>
            <w:webHidden/>
          </w:rPr>
          <w:t>21</w:t>
        </w:r>
        <w:r>
          <w:rPr>
            <w:noProof/>
            <w:webHidden/>
          </w:rPr>
          <w:fldChar w:fldCharType="end"/>
        </w:r>
      </w:hyperlink>
    </w:p>
    <w:p w:rsidR="005D3887" w:rsidRDefault="005D3887">
      <w:pPr>
        <w:pStyle w:val="Obsah4"/>
        <w:tabs>
          <w:tab w:val="left" w:pos="1100"/>
          <w:tab w:val="right" w:leader="dot" w:pos="9060"/>
        </w:tabs>
        <w:rPr>
          <w:rFonts w:asciiTheme="minorHAnsi" w:eastAsiaTheme="minorEastAsia" w:hAnsiTheme="minorHAnsi"/>
          <w:noProof/>
          <w:lang w:eastAsia="cs-CZ"/>
        </w:rPr>
      </w:pPr>
      <w:hyperlink w:anchor="_Toc465592568" w:history="1">
        <w:r w:rsidRPr="00A02129">
          <w:rPr>
            <w:rStyle w:val="Hypertextovodkaz"/>
            <w:noProof/>
          </w:rPr>
          <w:t>4.1.2.2</w:t>
        </w:r>
        <w:r>
          <w:rPr>
            <w:rFonts w:asciiTheme="minorHAnsi" w:eastAsiaTheme="minorEastAsia" w:hAnsiTheme="minorHAnsi"/>
            <w:noProof/>
            <w:lang w:eastAsia="cs-CZ"/>
          </w:rPr>
          <w:tab/>
        </w:r>
        <w:r w:rsidRPr="00A02129">
          <w:rPr>
            <w:rStyle w:val="Hypertextovodkaz"/>
            <w:noProof/>
          </w:rPr>
          <w:t>Detailnější rozbor jednotlivých oblastí rozvoje</w:t>
        </w:r>
        <w:r>
          <w:rPr>
            <w:noProof/>
            <w:webHidden/>
          </w:rPr>
          <w:tab/>
        </w:r>
        <w:r>
          <w:rPr>
            <w:noProof/>
            <w:webHidden/>
          </w:rPr>
          <w:fldChar w:fldCharType="begin"/>
        </w:r>
        <w:r>
          <w:rPr>
            <w:noProof/>
            <w:webHidden/>
          </w:rPr>
          <w:instrText xml:space="preserve"> PAGEREF _Toc465592568 \h </w:instrText>
        </w:r>
        <w:r>
          <w:rPr>
            <w:noProof/>
            <w:webHidden/>
          </w:rPr>
        </w:r>
        <w:r>
          <w:rPr>
            <w:noProof/>
            <w:webHidden/>
          </w:rPr>
          <w:fldChar w:fldCharType="separate"/>
        </w:r>
        <w:r>
          <w:rPr>
            <w:noProof/>
            <w:webHidden/>
          </w:rPr>
          <w:t>22</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69" w:history="1">
        <w:r w:rsidRPr="00A02129">
          <w:rPr>
            <w:rStyle w:val="Hypertextovodkaz"/>
            <w:noProof/>
          </w:rPr>
          <w:t>4.1.3</w:t>
        </w:r>
        <w:r>
          <w:rPr>
            <w:rFonts w:asciiTheme="minorHAnsi" w:hAnsiTheme="minorHAnsi"/>
            <w:noProof/>
            <w:lang w:eastAsia="cs-CZ"/>
          </w:rPr>
          <w:tab/>
        </w:r>
        <w:r w:rsidRPr="00A02129">
          <w:rPr>
            <w:rStyle w:val="Hypertextovodkaz"/>
            <w:noProof/>
          </w:rPr>
          <w:t>potřeby a plánY</w:t>
        </w:r>
        <w:r>
          <w:rPr>
            <w:noProof/>
            <w:webHidden/>
          </w:rPr>
          <w:tab/>
        </w:r>
        <w:r>
          <w:rPr>
            <w:noProof/>
            <w:webHidden/>
          </w:rPr>
          <w:fldChar w:fldCharType="begin"/>
        </w:r>
        <w:r>
          <w:rPr>
            <w:noProof/>
            <w:webHidden/>
          </w:rPr>
          <w:instrText xml:space="preserve"> PAGEREF _Toc465592569 \h </w:instrText>
        </w:r>
        <w:r>
          <w:rPr>
            <w:noProof/>
            <w:webHidden/>
          </w:rPr>
        </w:r>
        <w:r>
          <w:rPr>
            <w:noProof/>
            <w:webHidden/>
          </w:rPr>
          <w:fldChar w:fldCharType="separate"/>
        </w:r>
        <w:r>
          <w:rPr>
            <w:noProof/>
            <w:webHidden/>
          </w:rPr>
          <w:t>39</w:t>
        </w:r>
        <w:r>
          <w:rPr>
            <w:noProof/>
            <w:webHidden/>
          </w:rPr>
          <w:fldChar w:fldCharType="end"/>
        </w:r>
      </w:hyperlink>
    </w:p>
    <w:p w:rsidR="005D3887" w:rsidRDefault="005D3887">
      <w:pPr>
        <w:pStyle w:val="Obsah4"/>
        <w:tabs>
          <w:tab w:val="left" w:pos="1100"/>
          <w:tab w:val="right" w:leader="dot" w:pos="9060"/>
        </w:tabs>
        <w:rPr>
          <w:rFonts w:asciiTheme="minorHAnsi" w:eastAsiaTheme="minorEastAsia" w:hAnsiTheme="minorHAnsi"/>
          <w:noProof/>
          <w:lang w:eastAsia="cs-CZ"/>
        </w:rPr>
      </w:pPr>
      <w:hyperlink w:anchor="_Toc465592570" w:history="1">
        <w:r w:rsidRPr="00A02129">
          <w:rPr>
            <w:rStyle w:val="Hypertextovodkaz"/>
            <w:noProof/>
          </w:rPr>
          <w:t>4.1.3.1</w:t>
        </w:r>
        <w:r>
          <w:rPr>
            <w:rFonts w:asciiTheme="minorHAnsi" w:eastAsiaTheme="minorEastAsia" w:hAnsiTheme="minorHAnsi"/>
            <w:noProof/>
            <w:lang w:eastAsia="cs-CZ"/>
          </w:rPr>
          <w:tab/>
        </w:r>
        <w:r w:rsidRPr="00A02129">
          <w:rPr>
            <w:rStyle w:val="Hypertextovodkaz"/>
            <w:noProof/>
          </w:rPr>
          <w:t>Mateřské školy</w:t>
        </w:r>
        <w:r>
          <w:rPr>
            <w:noProof/>
            <w:webHidden/>
          </w:rPr>
          <w:tab/>
        </w:r>
        <w:r>
          <w:rPr>
            <w:noProof/>
            <w:webHidden/>
          </w:rPr>
          <w:fldChar w:fldCharType="begin"/>
        </w:r>
        <w:r>
          <w:rPr>
            <w:noProof/>
            <w:webHidden/>
          </w:rPr>
          <w:instrText xml:space="preserve"> PAGEREF _Toc465592570 \h </w:instrText>
        </w:r>
        <w:r>
          <w:rPr>
            <w:noProof/>
            <w:webHidden/>
          </w:rPr>
        </w:r>
        <w:r>
          <w:rPr>
            <w:noProof/>
            <w:webHidden/>
          </w:rPr>
          <w:fldChar w:fldCharType="separate"/>
        </w:r>
        <w:r>
          <w:rPr>
            <w:noProof/>
            <w:webHidden/>
          </w:rPr>
          <w:t>39</w:t>
        </w:r>
        <w:r>
          <w:rPr>
            <w:noProof/>
            <w:webHidden/>
          </w:rPr>
          <w:fldChar w:fldCharType="end"/>
        </w:r>
      </w:hyperlink>
    </w:p>
    <w:p w:rsidR="005D3887" w:rsidRDefault="005D3887">
      <w:pPr>
        <w:pStyle w:val="Obsah4"/>
        <w:tabs>
          <w:tab w:val="left" w:pos="1100"/>
          <w:tab w:val="right" w:leader="dot" w:pos="9060"/>
        </w:tabs>
        <w:rPr>
          <w:rFonts w:asciiTheme="minorHAnsi" w:eastAsiaTheme="minorEastAsia" w:hAnsiTheme="minorHAnsi"/>
          <w:noProof/>
          <w:lang w:eastAsia="cs-CZ"/>
        </w:rPr>
      </w:pPr>
      <w:hyperlink w:anchor="_Toc465592571" w:history="1">
        <w:r w:rsidRPr="00A02129">
          <w:rPr>
            <w:rStyle w:val="Hypertextovodkaz"/>
            <w:noProof/>
          </w:rPr>
          <w:t>4.1.3.2</w:t>
        </w:r>
        <w:r>
          <w:rPr>
            <w:rFonts w:asciiTheme="minorHAnsi" w:eastAsiaTheme="minorEastAsia" w:hAnsiTheme="minorHAnsi"/>
            <w:noProof/>
            <w:lang w:eastAsia="cs-CZ"/>
          </w:rPr>
          <w:tab/>
        </w:r>
        <w:r w:rsidRPr="00A02129">
          <w:rPr>
            <w:rStyle w:val="Hypertextovodkaz"/>
            <w:noProof/>
          </w:rPr>
          <w:t>Základní školy</w:t>
        </w:r>
        <w:r>
          <w:rPr>
            <w:noProof/>
            <w:webHidden/>
          </w:rPr>
          <w:tab/>
        </w:r>
        <w:r>
          <w:rPr>
            <w:noProof/>
            <w:webHidden/>
          </w:rPr>
          <w:fldChar w:fldCharType="begin"/>
        </w:r>
        <w:r>
          <w:rPr>
            <w:noProof/>
            <w:webHidden/>
          </w:rPr>
          <w:instrText xml:space="preserve"> PAGEREF _Toc465592571 \h </w:instrText>
        </w:r>
        <w:r>
          <w:rPr>
            <w:noProof/>
            <w:webHidden/>
          </w:rPr>
        </w:r>
        <w:r>
          <w:rPr>
            <w:noProof/>
            <w:webHidden/>
          </w:rPr>
          <w:fldChar w:fldCharType="separate"/>
        </w:r>
        <w:r>
          <w:rPr>
            <w:noProof/>
            <w:webHidden/>
          </w:rPr>
          <w:t>41</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72" w:history="1">
        <w:r w:rsidRPr="00A02129">
          <w:rPr>
            <w:rStyle w:val="Hypertextovodkaz"/>
            <w:noProof/>
          </w:rPr>
          <w:t>4.2</w:t>
        </w:r>
        <w:r>
          <w:rPr>
            <w:rFonts w:asciiTheme="minorHAnsi" w:eastAsiaTheme="minorEastAsia" w:hAnsiTheme="minorHAnsi"/>
            <w:noProof/>
            <w:lang w:eastAsia="cs-CZ"/>
          </w:rPr>
          <w:tab/>
        </w:r>
        <w:r w:rsidRPr="00A02129">
          <w:rPr>
            <w:rStyle w:val="Hypertextovodkaz"/>
            <w:noProof/>
          </w:rPr>
          <w:t>Zjištěné potřeby investic v MŠ a ZŠ a stupeň jejich připravenosti</w:t>
        </w:r>
        <w:r>
          <w:rPr>
            <w:noProof/>
            <w:webHidden/>
          </w:rPr>
          <w:tab/>
        </w:r>
        <w:r>
          <w:rPr>
            <w:noProof/>
            <w:webHidden/>
          </w:rPr>
          <w:fldChar w:fldCharType="begin"/>
        </w:r>
        <w:r>
          <w:rPr>
            <w:noProof/>
            <w:webHidden/>
          </w:rPr>
          <w:instrText xml:space="preserve"> PAGEREF _Toc465592572 \h </w:instrText>
        </w:r>
        <w:r>
          <w:rPr>
            <w:noProof/>
            <w:webHidden/>
          </w:rPr>
        </w:r>
        <w:r>
          <w:rPr>
            <w:noProof/>
            <w:webHidden/>
          </w:rPr>
          <w:fldChar w:fldCharType="separate"/>
        </w:r>
        <w:r>
          <w:rPr>
            <w:noProof/>
            <w:webHidden/>
          </w:rPr>
          <w:t>42</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73" w:history="1">
        <w:r w:rsidRPr="00A02129">
          <w:rPr>
            <w:rStyle w:val="Hypertextovodkaz"/>
            <w:noProof/>
          </w:rPr>
          <w:t>4.3</w:t>
        </w:r>
        <w:r>
          <w:rPr>
            <w:rFonts w:asciiTheme="minorHAnsi" w:eastAsiaTheme="minorEastAsia" w:hAnsiTheme="minorHAnsi"/>
            <w:noProof/>
            <w:lang w:eastAsia="cs-CZ"/>
          </w:rPr>
          <w:tab/>
        </w:r>
        <w:r w:rsidRPr="00A02129">
          <w:rPr>
            <w:rStyle w:val="Hypertextovodkaz"/>
            <w:noProof/>
          </w:rPr>
          <w:t>Rešerše relevantních dokumentů v oblasti vzdělávání</w:t>
        </w:r>
        <w:r>
          <w:rPr>
            <w:noProof/>
            <w:webHidden/>
          </w:rPr>
          <w:tab/>
        </w:r>
        <w:r>
          <w:rPr>
            <w:noProof/>
            <w:webHidden/>
          </w:rPr>
          <w:fldChar w:fldCharType="begin"/>
        </w:r>
        <w:r>
          <w:rPr>
            <w:noProof/>
            <w:webHidden/>
          </w:rPr>
          <w:instrText xml:space="preserve"> PAGEREF _Toc465592573 \h </w:instrText>
        </w:r>
        <w:r>
          <w:rPr>
            <w:noProof/>
            <w:webHidden/>
          </w:rPr>
        </w:r>
        <w:r>
          <w:rPr>
            <w:noProof/>
            <w:webHidden/>
          </w:rPr>
          <w:fldChar w:fldCharType="separate"/>
        </w:r>
        <w:r>
          <w:rPr>
            <w:noProof/>
            <w:webHidden/>
          </w:rPr>
          <w:t>42</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74" w:history="1">
        <w:r w:rsidRPr="00A02129">
          <w:rPr>
            <w:rStyle w:val="Hypertextovodkaz"/>
            <w:noProof/>
          </w:rPr>
          <w:t>4.3.1</w:t>
        </w:r>
        <w:r>
          <w:rPr>
            <w:rFonts w:asciiTheme="minorHAnsi" w:hAnsiTheme="minorHAnsi"/>
            <w:noProof/>
            <w:lang w:eastAsia="cs-CZ"/>
          </w:rPr>
          <w:tab/>
        </w:r>
        <w:r w:rsidRPr="00A02129">
          <w:rPr>
            <w:rStyle w:val="Hypertextovodkaz"/>
            <w:noProof/>
          </w:rPr>
          <w:t>strategie vzdělávací politiky české republiky do roku 2020</w:t>
        </w:r>
        <w:r>
          <w:rPr>
            <w:noProof/>
            <w:webHidden/>
          </w:rPr>
          <w:tab/>
        </w:r>
        <w:r>
          <w:rPr>
            <w:noProof/>
            <w:webHidden/>
          </w:rPr>
          <w:fldChar w:fldCharType="begin"/>
        </w:r>
        <w:r>
          <w:rPr>
            <w:noProof/>
            <w:webHidden/>
          </w:rPr>
          <w:instrText xml:space="preserve"> PAGEREF _Toc465592574 \h </w:instrText>
        </w:r>
        <w:r>
          <w:rPr>
            <w:noProof/>
            <w:webHidden/>
          </w:rPr>
        </w:r>
        <w:r>
          <w:rPr>
            <w:noProof/>
            <w:webHidden/>
          </w:rPr>
          <w:fldChar w:fldCharType="separate"/>
        </w:r>
        <w:r>
          <w:rPr>
            <w:noProof/>
            <w:webHidden/>
          </w:rPr>
          <w:t>42</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75" w:history="1">
        <w:r w:rsidRPr="00A02129">
          <w:rPr>
            <w:rStyle w:val="Hypertextovodkaz"/>
            <w:noProof/>
          </w:rPr>
          <w:t>4.3.2</w:t>
        </w:r>
        <w:r>
          <w:rPr>
            <w:rFonts w:asciiTheme="minorHAnsi" w:hAnsiTheme="minorHAnsi"/>
            <w:noProof/>
            <w:lang w:eastAsia="cs-CZ"/>
          </w:rPr>
          <w:tab/>
        </w:r>
        <w:r w:rsidRPr="00A02129">
          <w:rPr>
            <w:rStyle w:val="Hypertextovodkaz"/>
            <w:noProof/>
          </w:rPr>
          <w:t>Dlouhodobý záměr vzdělávání a rozvoje vzdělávací soustavy ve Středočeském kraji 2016 - 2020</w:t>
        </w:r>
        <w:r>
          <w:rPr>
            <w:noProof/>
            <w:webHidden/>
          </w:rPr>
          <w:tab/>
        </w:r>
        <w:r>
          <w:rPr>
            <w:noProof/>
            <w:webHidden/>
          </w:rPr>
          <w:fldChar w:fldCharType="begin"/>
        </w:r>
        <w:r>
          <w:rPr>
            <w:noProof/>
            <w:webHidden/>
          </w:rPr>
          <w:instrText xml:space="preserve"> PAGEREF _Toc465592575 \h </w:instrText>
        </w:r>
        <w:r>
          <w:rPr>
            <w:noProof/>
            <w:webHidden/>
          </w:rPr>
        </w:r>
        <w:r>
          <w:rPr>
            <w:noProof/>
            <w:webHidden/>
          </w:rPr>
          <w:fldChar w:fldCharType="separate"/>
        </w:r>
        <w:r>
          <w:rPr>
            <w:noProof/>
            <w:webHidden/>
          </w:rPr>
          <w:t>43</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76" w:history="1">
        <w:r w:rsidRPr="00A02129">
          <w:rPr>
            <w:rStyle w:val="Hypertextovodkaz"/>
            <w:noProof/>
          </w:rPr>
          <w:t>4.3.3</w:t>
        </w:r>
        <w:r>
          <w:rPr>
            <w:rFonts w:asciiTheme="minorHAnsi" w:hAnsiTheme="minorHAnsi"/>
            <w:noProof/>
            <w:lang w:eastAsia="cs-CZ"/>
          </w:rPr>
          <w:tab/>
        </w:r>
        <w:r w:rsidRPr="00A02129">
          <w:rPr>
            <w:rStyle w:val="Hypertextovodkaz"/>
            <w:noProof/>
          </w:rPr>
          <w:t>Strategie komunitně vedeného místního rozvoje pro území MAS Lípa pro VENKOV, Z. S. na období 2014 - 2020</w:t>
        </w:r>
        <w:r>
          <w:rPr>
            <w:noProof/>
            <w:webHidden/>
          </w:rPr>
          <w:tab/>
        </w:r>
        <w:r>
          <w:rPr>
            <w:noProof/>
            <w:webHidden/>
          </w:rPr>
          <w:fldChar w:fldCharType="begin"/>
        </w:r>
        <w:r>
          <w:rPr>
            <w:noProof/>
            <w:webHidden/>
          </w:rPr>
          <w:instrText xml:space="preserve"> PAGEREF _Toc465592576 \h </w:instrText>
        </w:r>
        <w:r>
          <w:rPr>
            <w:noProof/>
            <w:webHidden/>
          </w:rPr>
        </w:r>
        <w:r>
          <w:rPr>
            <w:noProof/>
            <w:webHidden/>
          </w:rPr>
          <w:fldChar w:fldCharType="separate"/>
        </w:r>
        <w:r>
          <w:rPr>
            <w:noProof/>
            <w:webHidden/>
          </w:rPr>
          <w:t>45</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77" w:history="1">
        <w:r w:rsidRPr="00A02129">
          <w:rPr>
            <w:rStyle w:val="Hypertextovodkaz"/>
            <w:noProof/>
          </w:rPr>
          <w:t>4.3.4</w:t>
        </w:r>
        <w:r>
          <w:rPr>
            <w:rFonts w:asciiTheme="minorHAnsi" w:hAnsiTheme="minorHAnsi"/>
            <w:noProof/>
            <w:lang w:eastAsia="cs-CZ"/>
          </w:rPr>
          <w:tab/>
        </w:r>
        <w:r w:rsidRPr="00A02129">
          <w:rPr>
            <w:rStyle w:val="Hypertextovodkaz"/>
            <w:noProof/>
          </w:rPr>
          <w:t>Strategie území SO ORP Kutná Hora v oblasti školství, soc. služeb, odpad. hospodářství a rekreace a cestovního ruchu</w:t>
        </w:r>
        <w:r>
          <w:rPr>
            <w:noProof/>
            <w:webHidden/>
          </w:rPr>
          <w:tab/>
        </w:r>
        <w:r>
          <w:rPr>
            <w:noProof/>
            <w:webHidden/>
          </w:rPr>
          <w:fldChar w:fldCharType="begin"/>
        </w:r>
        <w:r>
          <w:rPr>
            <w:noProof/>
            <w:webHidden/>
          </w:rPr>
          <w:instrText xml:space="preserve"> PAGEREF _Toc465592577 \h </w:instrText>
        </w:r>
        <w:r>
          <w:rPr>
            <w:noProof/>
            <w:webHidden/>
          </w:rPr>
        </w:r>
        <w:r>
          <w:rPr>
            <w:noProof/>
            <w:webHidden/>
          </w:rPr>
          <w:fldChar w:fldCharType="separate"/>
        </w:r>
        <w:r>
          <w:rPr>
            <w:noProof/>
            <w:webHidden/>
          </w:rPr>
          <w:t>46</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78" w:history="1">
        <w:r w:rsidRPr="00A02129">
          <w:rPr>
            <w:rStyle w:val="Hypertextovodkaz"/>
            <w:noProof/>
          </w:rPr>
          <w:t>4.3.5</w:t>
        </w:r>
        <w:r>
          <w:rPr>
            <w:rFonts w:asciiTheme="minorHAnsi" w:hAnsiTheme="minorHAnsi"/>
            <w:noProof/>
            <w:lang w:eastAsia="cs-CZ"/>
          </w:rPr>
          <w:tab/>
        </w:r>
        <w:r w:rsidRPr="00A02129">
          <w:rPr>
            <w:rStyle w:val="Hypertextovodkaz"/>
            <w:noProof/>
          </w:rPr>
          <w:t>Strategie vzdělávání pro Kutnou Horu do roku 2018</w:t>
        </w:r>
        <w:r>
          <w:rPr>
            <w:noProof/>
            <w:webHidden/>
          </w:rPr>
          <w:tab/>
        </w:r>
        <w:r>
          <w:rPr>
            <w:noProof/>
            <w:webHidden/>
          </w:rPr>
          <w:fldChar w:fldCharType="begin"/>
        </w:r>
        <w:r>
          <w:rPr>
            <w:noProof/>
            <w:webHidden/>
          </w:rPr>
          <w:instrText xml:space="preserve"> PAGEREF _Toc465592578 \h </w:instrText>
        </w:r>
        <w:r>
          <w:rPr>
            <w:noProof/>
            <w:webHidden/>
          </w:rPr>
        </w:r>
        <w:r>
          <w:rPr>
            <w:noProof/>
            <w:webHidden/>
          </w:rPr>
          <w:fldChar w:fldCharType="separate"/>
        </w:r>
        <w:r>
          <w:rPr>
            <w:noProof/>
            <w:webHidden/>
          </w:rPr>
          <w:t>46</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79" w:history="1">
        <w:r w:rsidRPr="00A02129">
          <w:rPr>
            <w:rStyle w:val="Hypertextovodkaz"/>
            <w:noProof/>
          </w:rPr>
          <w:t>4.4</w:t>
        </w:r>
        <w:r>
          <w:rPr>
            <w:rFonts w:asciiTheme="minorHAnsi" w:eastAsiaTheme="minorEastAsia" w:hAnsiTheme="minorHAnsi"/>
            <w:noProof/>
            <w:lang w:eastAsia="cs-CZ"/>
          </w:rPr>
          <w:tab/>
        </w:r>
        <w:r w:rsidRPr="00A02129">
          <w:rPr>
            <w:rStyle w:val="Hypertextovodkaz"/>
            <w:noProof/>
          </w:rPr>
          <w:t>Vymezení problémových oblastí a klíčových problémů</w:t>
        </w:r>
        <w:r>
          <w:rPr>
            <w:noProof/>
            <w:webHidden/>
          </w:rPr>
          <w:tab/>
        </w:r>
        <w:r>
          <w:rPr>
            <w:noProof/>
            <w:webHidden/>
          </w:rPr>
          <w:fldChar w:fldCharType="begin"/>
        </w:r>
        <w:r>
          <w:rPr>
            <w:noProof/>
            <w:webHidden/>
          </w:rPr>
          <w:instrText xml:space="preserve"> PAGEREF _Toc465592579 \h </w:instrText>
        </w:r>
        <w:r>
          <w:rPr>
            <w:noProof/>
            <w:webHidden/>
          </w:rPr>
        </w:r>
        <w:r>
          <w:rPr>
            <w:noProof/>
            <w:webHidden/>
          </w:rPr>
          <w:fldChar w:fldCharType="separate"/>
        </w:r>
        <w:r>
          <w:rPr>
            <w:noProof/>
            <w:webHidden/>
          </w:rPr>
          <w:t>47</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80" w:history="1">
        <w:r w:rsidRPr="00A02129">
          <w:rPr>
            <w:rStyle w:val="Hypertextovodkaz"/>
            <w:noProof/>
          </w:rPr>
          <w:t>4.4.1</w:t>
        </w:r>
        <w:r>
          <w:rPr>
            <w:rFonts w:asciiTheme="minorHAnsi" w:hAnsiTheme="minorHAnsi"/>
            <w:noProof/>
            <w:lang w:eastAsia="cs-CZ"/>
          </w:rPr>
          <w:tab/>
        </w:r>
        <w:r w:rsidRPr="00A02129">
          <w:rPr>
            <w:rStyle w:val="Hypertextovodkaz"/>
            <w:noProof/>
          </w:rPr>
          <w:t>problémové oblasti</w:t>
        </w:r>
        <w:r>
          <w:rPr>
            <w:noProof/>
            <w:webHidden/>
          </w:rPr>
          <w:tab/>
        </w:r>
        <w:r>
          <w:rPr>
            <w:noProof/>
            <w:webHidden/>
          </w:rPr>
          <w:fldChar w:fldCharType="begin"/>
        </w:r>
        <w:r>
          <w:rPr>
            <w:noProof/>
            <w:webHidden/>
          </w:rPr>
          <w:instrText xml:space="preserve"> PAGEREF _Toc465592580 \h </w:instrText>
        </w:r>
        <w:r>
          <w:rPr>
            <w:noProof/>
            <w:webHidden/>
          </w:rPr>
        </w:r>
        <w:r>
          <w:rPr>
            <w:noProof/>
            <w:webHidden/>
          </w:rPr>
          <w:fldChar w:fldCharType="separate"/>
        </w:r>
        <w:r>
          <w:rPr>
            <w:noProof/>
            <w:webHidden/>
          </w:rPr>
          <w:t>47</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81" w:history="1">
        <w:r w:rsidRPr="00A02129">
          <w:rPr>
            <w:rStyle w:val="Hypertextovodkaz"/>
            <w:noProof/>
          </w:rPr>
          <w:t>4.4.2</w:t>
        </w:r>
        <w:r>
          <w:rPr>
            <w:rFonts w:asciiTheme="minorHAnsi" w:hAnsiTheme="minorHAnsi"/>
            <w:noProof/>
            <w:lang w:eastAsia="cs-CZ"/>
          </w:rPr>
          <w:tab/>
        </w:r>
        <w:r w:rsidRPr="00A02129">
          <w:rPr>
            <w:rStyle w:val="Hypertextovodkaz"/>
            <w:noProof/>
          </w:rPr>
          <w:t>Swot-3 analýza problémových oblastí</w:t>
        </w:r>
        <w:r>
          <w:rPr>
            <w:noProof/>
            <w:webHidden/>
          </w:rPr>
          <w:tab/>
        </w:r>
        <w:r>
          <w:rPr>
            <w:noProof/>
            <w:webHidden/>
          </w:rPr>
          <w:fldChar w:fldCharType="begin"/>
        </w:r>
        <w:r>
          <w:rPr>
            <w:noProof/>
            <w:webHidden/>
          </w:rPr>
          <w:instrText xml:space="preserve"> PAGEREF _Toc465592581 \h </w:instrText>
        </w:r>
        <w:r>
          <w:rPr>
            <w:noProof/>
            <w:webHidden/>
          </w:rPr>
        </w:r>
        <w:r>
          <w:rPr>
            <w:noProof/>
            <w:webHidden/>
          </w:rPr>
          <w:fldChar w:fldCharType="separate"/>
        </w:r>
        <w:r>
          <w:rPr>
            <w:noProof/>
            <w:webHidden/>
          </w:rPr>
          <w:t>48</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82" w:history="1">
        <w:r w:rsidRPr="00A02129">
          <w:rPr>
            <w:rStyle w:val="Hypertextovodkaz"/>
            <w:noProof/>
          </w:rPr>
          <w:t>4.5</w:t>
        </w:r>
        <w:r>
          <w:rPr>
            <w:rFonts w:asciiTheme="minorHAnsi" w:eastAsiaTheme="minorEastAsia" w:hAnsiTheme="minorHAnsi"/>
            <w:noProof/>
            <w:lang w:eastAsia="cs-CZ"/>
          </w:rPr>
          <w:tab/>
        </w:r>
        <w:r w:rsidRPr="00A02129">
          <w:rPr>
            <w:rStyle w:val="Hypertextovodkaz"/>
            <w:noProof/>
          </w:rPr>
          <w:t>Demografická analýza</w:t>
        </w:r>
        <w:r>
          <w:rPr>
            <w:noProof/>
            <w:webHidden/>
          </w:rPr>
          <w:tab/>
        </w:r>
        <w:r>
          <w:rPr>
            <w:noProof/>
            <w:webHidden/>
          </w:rPr>
          <w:fldChar w:fldCharType="begin"/>
        </w:r>
        <w:r>
          <w:rPr>
            <w:noProof/>
            <w:webHidden/>
          </w:rPr>
          <w:instrText xml:space="preserve"> PAGEREF _Toc465592582 \h </w:instrText>
        </w:r>
        <w:r>
          <w:rPr>
            <w:noProof/>
            <w:webHidden/>
          </w:rPr>
        </w:r>
        <w:r>
          <w:rPr>
            <w:noProof/>
            <w:webHidden/>
          </w:rPr>
          <w:fldChar w:fldCharType="separate"/>
        </w:r>
        <w:r>
          <w:rPr>
            <w:noProof/>
            <w:webHidden/>
          </w:rPr>
          <w:t>52</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83" w:history="1">
        <w:r w:rsidRPr="00A02129">
          <w:rPr>
            <w:rStyle w:val="Hypertextovodkaz"/>
            <w:noProof/>
          </w:rPr>
          <w:t>4.5.1</w:t>
        </w:r>
        <w:r>
          <w:rPr>
            <w:rFonts w:asciiTheme="minorHAnsi" w:hAnsiTheme="minorHAnsi"/>
            <w:noProof/>
            <w:lang w:eastAsia="cs-CZ"/>
          </w:rPr>
          <w:tab/>
        </w:r>
        <w:r w:rsidRPr="00A02129">
          <w:rPr>
            <w:rStyle w:val="Hypertextovodkaz"/>
            <w:noProof/>
          </w:rPr>
          <w:t>obce s progresivním demografickým vývojem</w:t>
        </w:r>
        <w:r>
          <w:rPr>
            <w:noProof/>
            <w:webHidden/>
          </w:rPr>
          <w:tab/>
        </w:r>
        <w:r>
          <w:rPr>
            <w:noProof/>
            <w:webHidden/>
          </w:rPr>
          <w:fldChar w:fldCharType="begin"/>
        </w:r>
        <w:r>
          <w:rPr>
            <w:noProof/>
            <w:webHidden/>
          </w:rPr>
          <w:instrText xml:space="preserve"> PAGEREF _Toc465592583 \h </w:instrText>
        </w:r>
        <w:r>
          <w:rPr>
            <w:noProof/>
            <w:webHidden/>
          </w:rPr>
        </w:r>
        <w:r>
          <w:rPr>
            <w:noProof/>
            <w:webHidden/>
          </w:rPr>
          <w:fldChar w:fldCharType="separate"/>
        </w:r>
        <w:r>
          <w:rPr>
            <w:noProof/>
            <w:webHidden/>
          </w:rPr>
          <w:t>53</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84" w:history="1">
        <w:r w:rsidRPr="00A02129">
          <w:rPr>
            <w:rStyle w:val="Hypertextovodkaz"/>
            <w:noProof/>
          </w:rPr>
          <w:t>4.5.2</w:t>
        </w:r>
        <w:r>
          <w:rPr>
            <w:rFonts w:asciiTheme="minorHAnsi" w:hAnsiTheme="minorHAnsi"/>
            <w:noProof/>
            <w:lang w:eastAsia="cs-CZ"/>
          </w:rPr>
          <w:tab/>
        </w:r>
        <w:r w:rsidRPr="00A02129">
          <w:rPr>
            <w:rStyle w:val="Hypertextovodkaz"/>
            <w:noProof/>
          </w:rPr>
          <w:t>obce se stagnujícím demografickým vývojem</w:t>
        </w:r>
        <w:r>
          <w:rPr>
            <w:noProof/>
            <w:webHidden/>
          </w:rPr>
          <w:tab/>
        </w:r>
        <w:r>
          <w:rPr>
            <w:noProof/>
            <w:webHidden/>
          </w:rPr>
          <w:fldChar w:fldCharType="begin"/>
        </w:r>
        <w:r>
          <w:rPr>
            <w:noProof/>
            <w:webHidden/>
          </w:rPr>
          <w:instrText xml:space="preserve"> PAGEREF _Toc465592584 \h </w:instrText>
        </w:r>
        <w:r>
          <w:rPr>
            <w:noProof/>
            <w:webHidden/>
          </w:rPr>
        </w:r>
        <w:r>
          <w:rPr>
            <w:noProof/>
            <w:webHidden/>
          </w:rPr>
          <w:fldChar w:fldCharType="separate"/>
        </w:r>
        <w:r>
          <w:rPr>
            <w:noProof/>
            <w:webHidden/>
          </w:rPr>
          <w:t>63</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85" w:history="1">
        <w:r w:rsidRPr="00A02129">
          <w:rPr>
            <w:rStyle w:val="Hypertextovodkaz"/>
            <w:noProof/>
          </w:rPr>
          <w:t>4.5.3</w:t>
        </w:r>
        <w:r>
          <w:rPr>
            <w:rFonts w:asciiTheme="minorHAnsi" w:hAnsiTheme="minorHAnsi"/>
            <w:noProof/>
            <w:lang w:eastAsia="cs-CZ"/>
          </w:rPr>
          <w:tab/>
        </w:r>
        <w:r w:rsidRPr="00A02129">
          <w:rPr>
            <w:rStyle w:val="Hypertextovodkaz"/>
            <w:noProof/>
          </w:rPr>
          <w:t>obce s regresivním demografickým vývojem</w:t>
        </w:r>
        <w:r>
          <w:rPr>
            <w:noProof/>
            <w:webHidden/>
          </w:rPr>
          <w:tab/>
        </w:r>
        <w:r>
          <w:rPr>
            <w:noProof/>
            <w:webHidden/>
          </w:rPr>
          <w:fldChar w:fldCharType="begin"/>
        </w:r>
        <w:r>
          <w:rPr>
            <w:noProof/>
            <w:webHidden/>
          </w:rPr>
          <w:instrText xml:space="preserve"> PAGEREF _Toc465592585 \h </w:instrText>
        </w:r>
        <w:r>
          <w:rPr>
            <w:noProof/>
            <w:webHidden/>
          </w:rPr>
        </w:r>
        <w:r>
          <w:rPr>
            <w:noProof/>
            <w:webHidden/>
          </w:rPr>
          <w:fldChar w:fldCharType="separate"/>
        </w:r>
        <w:r>
          <w:rPr>
            <w:noProof/>
            <w:webHidden/>
          </w:rPr>
          <w:t>67</w:t>
        </w:r>
        <w:r>
          <w:rPr>
            <w:noProof/>
            <w:webHidden/>
          </w:rPr>
          <w:fldChar w:fldCharType="end"/>
        </w:r>
      </w:hyperlink>
    </w:p>
    <w:p w:rsidR="005D3887" w:rsidRDefault="005D3887">
      <w:pPr>
        <w:pStyle w:val="Obsah3"/>
        <w:tabs>
          <w:tab w:val="left" w:pos="880"/>
          <w:tab w:val="right" w:leader="dot" w:pos="9060"/>
        </w:tabs>
        <w:rPr>
          <w:rFonts w:asciiTheme="minorHAnsi" w:hAnsiTheme="minorHAnsi"/>
          <w:noProof/>
          <w:lang w:eastAsia="cs-CZ"/>
        </w:rPr>
      </w:pPr>
      <w:hyperlink w:anchor="_Toc465592586" w:history="1">
        <w:r w:rsidRPr="00A02129">
          <w:rPr>
            <w:rStyle w:val="Hypertextovodkaz"/>
            <w:noProof/>
          </w:rPr>
          <w:t>4.5.4</w:t>
        </w:r>
        <w:r>
          <w:rPr>
            <w:rFonts w:asciiTheme="minorHAnsi" w:hAnsiTheme="minorHAnsi"/>
            <w:noProof/>
            <w:lang w:eastAsia="cs-CZ"/>
          </w:rPr>
          <w:tab/>
        </w:r>
        <w:r w:rsidRPr="00A02129">
          <w:rPr>
            <w:rStyle w:val="Hypertextovodkaz"/>
            <w:noProof/>
          </w:rPr>
          <w:t>shrnutí</w:t>
        </w:r>
        <w:r>
          <w:rPr>
            <w:noProof/>
            <w:webHidden/>
          </w:rPr>
          <w:tab/>
        </w:r>
        <w:r>
          <w:rPr>
            <w:noProof/>
            <w:webHidden/>
          </w:rPr>
          <w:fldChar w:fldCharType="begin"/>
        </w:r>
        <w:r>
          <w:rPr>
            <w:noProof/>
            <w:webHidden/>
          </w:rPr>
          <w:instrText xml:space="preserve"> PAGEREF _Toc465592586 \h </w:instrText>
        </w:r>
        <w:r>
          <w:rPr>
            <w:noProof/>
            <w:webHidden/>
          </w:rPr>
        </w:r>
        <w:r>
          <w:rPr>
            <w:noProof/>
            <w:webHidden/>
          </w:rPr>
          <w:fldChar w:fldCharType="separate"/>
        </w:r>
        <w:r>
          <w:rPr>
            <w:noProof/>
            <w:webHidden/>
          </w:rPr>
          <w:t>71</w:t>
        </w:r>
        <w:r>
          <w:rPr>
            <w:noProof/>
            <w:webHidden/>
          </w:rPr>
          <w:fldChar w:fldCharType="end"/>
        </w:r>
      </w:hyperlink>
    </w:p>
    <w:p w:rsidR="005D3887" w:rsidRDefault="005D3887">
      <w:pPr>
        <w:pStyle w:val="Obsah2"/>
        <w:tabs>
          <w:tab w:val="left" w:pos="880"/>
          <w:tab w:val="right" w:leader="dot" w:pos="9060"/>
        </w:tabs>
        <w:rPr>
          <w:rFonts w:asciiTheme="minorHAnsi" w:eastAsiaTheme="minorEastAsia" w:hAnsiTheme="minorHAnsi"/>
          <w:noProof/>
          <w:lang w:eastAsia="cs-CZ"/>
        </w:rPr>
      </w:pPr>
      <w:hyperlink w:anchor="_Toc465592587" w:history="1">
        <w:r w:rsidRPr="00A02129">
          <w:rPr>
            <w:rStyle w:val="Hypertextovodkaz"/>
            <w:noProof/>
          </w:rPr>
          <w:t>4.6</w:t>
        </w:r>
        <w:r>
          <w:rPr>
            <w:rFonts w:asciiTheme="minorHAnsi" w:eastAsiaTheme="minorEastAsia" w:hAnsiTheme="minorHAnsi"/>
            <w:noProof/>
            <w:lang w:eastAsia="cs-CZ"/>
          </w:rPr>
          <w:tab/>
        </w:r>
        <w:r w:rsidRPr="00A02129">
          <w:rPr>
            <w:rStyle w:val="Hypertextovodkaz"/>
            <w:noProof/>
          </w:rPr>
          <w:t>Dohoda o prioritách</w:t>
        </w:r>
        <w:r>
          <w:rPr>
            <w:noProof/>
            <w:webHidden/>
          </w:rPr>
          <w:tab/>
        </w:r>
        <w:r>
          <w:rPr>
            <w:noProof/>
            <w:webHidden/>
          </w:rPr>
          <w:fldChar w:fldCharType="begin"/>
        </w:r>
        <w:r>
          <w:rPr>
            <w:noProof/>
            <w:webHidden/>
          </w:rPr>
          <w:instrText xml:space="preserve"> PAGEREF _Toc465592587 \h </w:instrText>
        </w:r>
        <w:r>
          <w:rPr>
            <w:noProof/>
            <w:webHidden/>
          </w:rPr>
        </w:r>
        <w:r>
          <w:rPr>
            <w:noProof/>
            <w:webHidden/>
          </w:rPr>
          <w:fldChar w:fldCharType="separate"/>
        </w:r>
        <w:r>
          <w:rPr>
            <w:noProof/>
            <w:webHidden/>
          </w:rPr>
          <w:t>72</w:t>
        </w:r>
        <w:r>
          <w:rPr>
            <w:noProof/>
            <w:webHidden/>
          </w:rPr>
          <w:fldChar w:fldCharType="end"/>
        </w:r>
      </w:hyperlink>
    </w:p>
    <w:p w:rsidR="005D3887" w:rsidRDefault="005D3887">
      <w:pPr>
        <w:pStyle w:val="Obsah1"/>
        <w:tabs>
          <w:tab w:val="left" w:pos="880"/>
          <w:tab w:val="right" w:leader="dot" w:pos="9060"/>
        </w:tabs>
        <w:rPr>
          <w:rFonts w:asciiTheme="minorHAnsi" w:eastAsiaTheme="minorEastAsia" w:hAnsiTheme="minorHAnsi"/>
          <w:noProof/>
          <w:lang w:eastAsia="cs-CZ"/>
        </w:rPr>
      </w:pPr>
      <w:hyperlink w:anchor="_Toc465592588" w:history="1">
        <w:r w:rsidRPr="00A02129">
          <w:rPr>
            <w:rStyle w:val="Hypertextovodkaz"/>
            <w:noProof/>
          </w:rPr>
          <w:t>5</w:t>
        </w:r>
        <w:r>
          <w:rPr>
            <w:rFonts w:asciiTheme="minorHAnsi" w:eastAsiaTheme="minorEastAsia" w:hAnsiTheme="minorHAnsi"/>
            <w:noProof/>
            <w:lang w:eastAsia="cs-CZ"/>
          </w:rPr>
          <w:tab/>
        </w:r>
        <w:r w:rsidRPr="00A02129">
          <w:rPr>
            <w:rStyle w:val="Hypertextovodkaz"/>
            <w:noProof/>
          </w:rPr>
          <w:t>Strategický rámec MAP pro SO ORP Kutná Hora</w:t>
        </w:r>
        <w:r>
          <w:rPr>
            <w:noProof/>
            <w:webHidden/>
          </w:rPr>
          <w:tab/>
        </w:r>
        <w:r>
          <w:rPr>
            <w:noProof/>
            <w:webHidden/>
          </w:rPr>
          <w:fldChar w:fldCharType="begin"/>
        </w:r>
        <w:r>
          <w:rPr>
            <w:noProof/>
            <w:webHidden/>
          </w:rPr>
          <w:instrText xml:space="preserve"> PAGEREF _Toc465592588 \h </w:instrText>
        </w:r>
        <w:r>
          <w:rPr>
            <w:noProof/>
            <w:webHidden/>
          </w:rPr>
        </w:r>
        <w:r>
          <w:rPr>
            <w:noProof/>
            <w:webHidden/>
          </w:rPr>
          <w:fldChar w:fldCharType="separate"/>
        </w:r>
        <w:r>
          <w:rPr>
            <w:noProof/>
            <w:webHidden/>
          </w:rPr>
          <w:t>74</w:t>
        </w:r>
        <w:r>
          <w:rPr>
            <w:noProof/>
            <w:webHidden/>
          </w:rPr>
          <w:fldChar w:fldCharType="end"/>
        </w:r>
      </w:hyperlink>
    </w:p>
    <w:p w:rsidR="005D3887" w:rsidRDefault="005D3887">
      <w:pPr>
        <w:pStyle w:val="Obsah1"/>
        <w:tabs>
          <w:tab w:val="left" w:pos="880"/>
          <w:tab w:val="right" w:leader="dot" w:pos="9060"/>
        </w:tabs>
        <w:rPr>
          <w:rFonts w:asciiTheme="minorHAnsi" w:eastAsiaTheme="minorEastAsia" w:hAnsiTheme="minorHAnsi"/>
          <w:noProof/>
          <w:lang w:eastAsia="cs-CZ"/>
        </w:rPr>
      </w:pPr>
      <w:hyperlink w:anchor="_Toc465592589" w:history="1">
        <w:r w:rsidRPr="00A02129">
          <w:rPr>
            <w:rStyle w:val="Hypertextovodkaz"/>
            <w:noProof/>
          </w:rPr>
          <w:t>6</w:t>
        </w:r>
        <w:r>
          <w:rPr>
            <w:rFonts w:asciiTheme="minorHAnsi" w:eastAsiaTheme="minorEastAsia" w:hAnsiTheme="minorHAnsi"/>
            <w:noProof/>
            <w:lang w:eastAsia="cs-CZ"/>
          </w:rPr>
          <w:tab/>
        </w:r>
        <w:r w:rsidRPr="00A02129">
          <w:rPr>
            <w:rStyle w:val="Hypertextovodkaz"/>
            <w:noProof/>
          </w:rPr>
          <w:t>Opatření</w:t>
        </w:r>
        <w:r>
          <w:rPr>
            <w:noProof/>
            <w:webHidden/>
          </w:rPr>
          <w:tab/>
        </w:r>
        <w:r>
          <w:rPr>
            <w:noProof/>
            <w:webHidden/>
          </w:rPr>
          <w:fldChar w:fldCharType="begin"/>
        </w:r>
        <w:r>
          <w:rPr>
            <w:noProof/>
            <w:webHidden/>
          </w:rPr>
          <w:instrText xml:space="preserve"> PAGEREF _Toc465592589 \h </w:instrText>
        </w:r>
        <w:r>
          <w:rPr>
            <w:noProof/>
            <w:webHidden/>
          </w:rPr>
        </w:r>
        <w:r>
          <w:rPr>
            <w:noProof/>
            <w:webHidden/>
          </w:rPr>
          <w:fldChar w:fldCharType="separate"/>
        </w:r>
        <w:r>
          <w:rPr>
            <w:noProof/>
            <w:webHidden/>
          </w:rPr>
          <w:t>75</w:t>
        </w:r>
        <w:r>
          <w:rPr>
            <w:noProof/>
            <w:webHidden/>
          </w:rPr>
          <w:fldChar w:fldCharType="end"/>
        </w:r>
      </w:hyperlink>
    </w:p>
    <w:p w:rsidR="005D3887" w:rsidRDefault="005D3887">
      <w:pPr>
        <w:pStyle w:val="Obsah1"/>
        <w:tabs>
          <w:tab w:val="left" w:pos="880"/>
          <w:tab w:val="right" w:leader="dot" w:pos="9060"/>
        </w:tabs>
        <w:rPr>
          <w:rFonts w:asciiTheme="minorHAnsi" w:eastAsiaTheme="minorEastAsia" w:hAnsiTheme="minorHAnsi"/>
          <w:noProof/>
          <w:lang w:eastAsia="cs-CZ"/>
        </w:rPr>
      </w:pPr>
      <w:hyperlink w:anchor="_Toc465592590" w:history="1">
        <w:r w:rsidRPr="00A02129">
          <w:rPr>
            <w:rStyle w:val="Hypertextovodkaz"/>
            <w:noProof/>
          </w:rPr>
          <w:t>7</w:t>
        </w:r>
        <w:r>
          <w:rPr>
            <w:rFonts w:asciiTheme="minorHAnsi" w:eastAsiaTheme="minorEastAsia" w:hAnsiTheme="minorHAnsi"/>
            <w:noProof/>
            <w:lang w:eastAsia="cs-CZ"/>
          </w:rPr>
          <w:tab/>
        </w:r>
        <w:r w:rsidRPr="00A02129">
          <w:rPr>
            <w:rStyle w:val="Hypertextovodkaz"/>
            <w:noProof/>
          </w:rPr>
          <w:t>Použité zkratky</w:t>
        </w:r>
        <w:r>
          <w:rPr>
            <w:noProof/>
            <w:webHidden/>
          </w:rPr>
          <w:tab/>
        </w:r>
        <w:r>
          <w:rPr>
            <w:noProof/>
            <w:webHidden/>
          </w:rPr>
          <w:fldChar w:fldCharType="begin"/>
        </w:r>
        <w:r>
          <w:rPr>
            <w:noProof/>
            <w:webHidden/>
          </w:rPr>
          <w:instrText xml:space="preserve"> PAGEREF _Toc465592590 \h </w:instrText>
        </w:r>
        <w:r>
          <w:rPr>
            <w:noProof/>
            <w:webHidden/>
          </w:rPr>
        </w:r>
        <w:r>
          <w:rPr>
            <w:noProof/>
            <w:webHidden/>
          </w:rPr>
          <w:fldChar w:fldCharType="separate"/>
        </w:r>
        <w:r>
          <w:rPr>
            <w:noProof/>
            <w:webHidden/>
          </w:rPr>
          <w:t>76</w:t>
        </w:r>
        <w:r>
          <w:rPr>
            <w:noProof/>
            <w:webHidden/>
          </w:rPr>
          <w:fldChar w:fldCharType="end"/>
        </w:r>
      </w:hyperlink>
    </w:p>
    <w:p w:rsidR="005D3887" w:rsidRDefault="005D3887">
      <w:pPr>
        <w:pStyle w:val="Obsah1"/>
        <w:tabs>
          <w:tab w:val="left" w:pos="880"/>
          <w:tab w:val="right" w:leader="dot" w:pos="9060"/>
        </w:tabs>
        <w:rPr>
          <w:rFonts w:asciiTheme="minorHAnsi" w:eastAsiaTheme="minorEastAsia" w:hAnsiTheme="minorHAnsi"/>
          <w:noProof/>
          <w:lang w:eastAsia="cs-CZ"/>
        </w:rPr>
      </w:pPr>
      <w:hyperlink w:anchor="_Toc465592591" w:history="1">
        <w:r w:rsidRPr="00A02129">
          <w:rPr>
            <w:rStyle w:val="Hypertextovodkaz"/>
            <w:noProof/>
          </w:rPr>
          <w:t>8</w:t>
        </w:r>
        <w:r>
          <w:rPr>
            <w:rFonts w:asciiTheme="minorHAnsi" w:eastAsiaTheme="minorEastAsia" w:hAnsiTheme="minorHAnsi"/>
            <w:noProof/>
            <w:lang w:eastAsia="cs-CZ"/>
          </w:rPr>
          <w:tab/>
        </w:r>
        <w:r w:rsidRPr="00A02129">
          <w:rPr>
            <w:rStyle w:val="Hypertextovodkaz"/>
            <w:noProof/>
          </w:rPr>
          <w:t>Zdroje</w:t>
        </w:r>
        <w:r>
          <w:rPr>
            <w:noProof/>
            <w:webHidden/>
          </w:rPr>
          <w:tab/>
        </w:r>
        <w:r>
          <w:rPr>
            <w:noProof/>
            <w:webHidden/>
          </w:rPr>
          <w:fldChar w:fldCharType="begin"/>
        </w:r>
        <w:r>
          <w:rPr>
            <w:noProof/>
            <w:webHidden/>
          </w:rPr>
          <w:instrText xml:space="preserve"> PAGEREF _Toc465592591 \h </w:instrText>
        </w:r>
        <w:r>
          <w:rPr>
            <w:noProof/>
            <w:webHidden/>
          </w:rPr>
        </w:r>
        <w:r>
          <w:rPr>
            <w:noProof/>
            <w:webHidden/>
          </w:rPr>
          <w:fldChar w:fldCharType="separate"/>
        </w:r>
        <w:r>
          <w:rPr>
            <w:noProof/>
            <w:webHidden/>
          </w:rPr>
          <w:t>77</w:t>
        </w:r>
        <w:r>
          <w:rPr>
            <w:noProof/>
            <w:webHidden/>
          </w:rPr>
          <w:fldChar w:fldCharType="end"/>
        </w:r>
      </w:hyperlink>
    </w:p>
    <w:p w:rsidR="00B67AC8" w:rsidRDefault="00FA6530" w:rsidP="00955CEC">
      <w:pPr>
        <w:pStyle w:val="Bezmezer"/>
        <w:sectPr w:rsidR="00B67AC8" w:rsidSect="00C53A6B">
          <w:headerReference w:type="default" r:id="rId8"/>
          <w:footerReference w:type="default" r:id="rId9"/>
          <w:pgSz w:w="11906" w:h="16838"/>
          <w:pgMar w:top="1418" w:right="1418" w:bottom="1418" w:left="1418" w:header="709" w:footer="709" w:gutter="0"/>
          <w:pgNumType w:start="1"/>
          <w:cols w:space="708"/>
          <w:titlePg/>
          <w:docGrid w:linePitch="707"/>
        </w:sectPr>
      </w:pPr>
      <w:r>
        <w:fldChar w:fldCharType="end"/>
      </w:r>
    </w:p>
    <w:p w:rsidR="007C1099" w:rsidRPr="007C1099" w:rsidRDefault="004C2EE6" w:rsidP="00955CEC">
      <w:pPr>
        <w:pStyle w:val="Nadpis1"/>
      </w:pPr>
      <w:bookmarkStart w:id="2" w:name="_Toc465592552"/>
      <w:r>
        <w:lastRenderedPageBreak/>
        <w:t>Představení</w:t>
      </w:r>
      <w:r w:rsidR="007C1099" w:rsidRPr="007C1099">
        <w:t xml:space="preserve"> MAP</w:t>
      </w:r>
      <w:bookmarkEnd w:id="2"/>
    </w:p>
    <w:p w:rsidR="004C2EE6" w:rsidRDefault="004C2EE6" w:rsidP="00955CEC">
      <w:pPr>
        <w:pStyle w:val="Nadpis2"/>
      </w:pPr>
      <w:bookmarkStart w:id="3" w:name="_Toc448662379"/>
      <w:bookmarkStart w:id="4" w:name="_Toc448662380"/>
      <w:bookmarkStart w:id="5" w:name="_Toc465592553"/>
      <w:bookmarkEnd w:id="3"/>
      <w:bookmarkEnd w:id="4"/>
      <w:r>
        <w:t>Důvody realizace MAP</w:t>
      </w:r>
      <w:bookmarkEnd w:id="5"/>
    </w:p>
    <w:p w:rsidR="006D1DB0" w:rsidRDefault="007C1099" w:rsidP="00955CEC">
      <w:pPr>
        <w:pStyle w:val="Bezmezer"/>
      </w:pPr>
      <w:r w:rsidRPr="007C1099">
        <w:t xml:space="preserve">Dosavadní zkušenosti z realizace systémových změn ve vzdělávání ukazují, že je nutné posílit přenos těchto změn na úroveň jednotlivých škol a ostatních organizací a institucí působících ve vzdělávání na místní úrovni. </w:t>
      </w:r>
      <w:r w:rsidRPr="006D1DB0">
        <w:rPr>
          <w:u w:val="single"/>
        </w:rPr>
        <w:t>Decentralizace, která proběhla v regionálním školství, nebyla provázena budováním dostatečných odborných kapacit na středních úrovních řízení</w:t>
      </w:r>
      <w:r w:rsidRPr="007C1099">
        <w:t xml:space="preserve">. </w:t>
      </w:r>
    </w:p>
    <w:p w:rsidR="006D1DB0" w:rsidRDefault="007C1099" w:rsidP="0047492A">
      <w:pPr>
        <w:pStyle w:val="Bezmezer"/>
      </w:pPr>
      <w:r w:rsidRPr="007C1099">
        <w:t xml:space="preserve">Ze zjištění </w:t>
      </w:r>
      <w:r w:rsidR="006D1DB0">
        <w:t>české školní inspekce</w:t>
      </w:r>
      <w:r w:rsidRPr="007C1099">
        <w:t>, ale také projektů Agentury</w:t>
      </w:r>
      <w:r w:rsidR="004C2EE6">
        <w:t xml:space="preserve"> pro sociální začleňování</w:t>
      </w:r>
      <w:r w:rsidR="006526C8">
        <w:t xml:space="preserve"> nebo</w:t>
      </w:r>
      <w:r w:rsidR="006D1DB0">
        <w:t xml:space="preserve"> organizace Člověk v tísni</w:t>
      </w:r>
      <w:r w:rsidRPr="007C1099">
        <w:t xml:space="preserve">, je zřejmé, že zřizovatelům (v případě ZŠ a MŠ jsou to zejména obce) často chybí vize rozvoje škol a že nemají koncepci vzdělávací politiky zejména ve vztahu k začleňování znevýhodněných dětí, potažmo k inkluzivnímu modelu vzdělávání, řízení a hodnocení kvality vzdělávání. To souvisí s neujasněným vztahem mezi zřizovatelem, školami a dalšími vzdělávacími zařízeními na území obce a s nejasností ohledně metodického vedení. </w:t>
      </w:r>
    </w:p>
    <w:p w:rsidR="007C1099" w:rsidRDefault="007C1099" w:rsidP="00955CEC">
      <w:pPr>
        <w:pStyle w:val="Bezmezer"/>
      </w:pPr>
      <w:r w:rsidRPr="007C1099">
        <w:t xml:space="preserve">Mezi úrovní systémovou a školní tak existuje značná propast, která způsobuje, že dopad systémových změn není dostatečný a nepřispívá tolik ke zvýšení kvality vzdělávání. Aby bylo možné </w:t>
      </w:r>
      <w:r w:rsidR="006D1DB0">
        <w:t xml:space="preserve">příslušnými </w:t>
      </w:r>
      <w:r w:rsidRPr="007C1099">
        <w:t>operačním</w:t>
      </w:r>
      <w:r w:rsidR="006D1DB0">
        <w:t>i</w:t>
      </w:r>
      <w:r w:rsidRPr="007C1099">
        <w:t xml:space="preserve"> program</w:t>
      </w:r>
      <w:r w:rsidR="00784B05">
        <w:t>y</w:t>
      </w:r>
      <w:r w:rsidRPr="007C1099">
        <w:t xml:space="preserve"> výše zmíněné nedostatky řešit, bylo rozhodnuto, že prostřednictvím systému výzev a projektů bude na celé území ČR přenášena jednotná koncepce metodické podpory jak zřizovatelům, tak i jednotlivým školám.</w:t>
      </w:r>
    </w:p>
    <w:p w:rsidR="00A67EE5" w:rsidRDefault="00140875" w:rsidP="00955CEC">
      <w:pPr>
        <w:pStyle w:val="Nadpis2"/>
      </w:pPr>
      <w:bookmarkStart w:id="6" w:name="_Toc465592554"/>
      <w:r>
        <w:t>Co je to MAP</w:t>
      </w:r>
      <w:bookmarkEnd w:id="6"/>
    </w:p>
    <w:p w:rsidR="007C1099" w:rsidRDefault="00140875" w:rsidP="00955CEC">
      <w:pPr>
        <w:pStyle w:val="Bezmezer"/>
      </w:pPr>
      <w:r>
        <w:t>MAP je Místní Akční P</w:t>
      </w:r>
      <w:r w:rsidR="004C2EE6" w:rsidRPr="004C2EE6">
        <w:t xml:space="preserve">lán vzdělávání, který bude prioritně zaměřen na rozvoj kvalitního a </w:t>
      </w:r>
      <w:r w:rsidR="000841E6" w:rsidRPr="004C2EE6">
        <w:t>inkluzívního</w:t>
      </w:r>
      <w:r w:rsidR="004C2EE6" w:rsidRPr="004C2EE6">
        <w:t xml:space="preserve"> vzdělávání dětí a žáků do 15 let. Zahrnuje oblasti včasné péče, předškolního a základního vzdělávání, zájmového a neformálního vzdělávání. Tomuto zaměření odpovídá území realizace i výběr partnerů pro realizaci MAP a zaměření sběru dat.</w:t>
      </w:r>
    </w:p>
    <w:p w:rsidR="000841E6" w:rsidRDefault="000841E6" w:rsidP="00955CEC">
      <w:pPr>
        <w:pStyle w:val="Bezmezer"/>
      </w:pPr>
      <w:r w:rsidRPr="000841E6">
        <w:t>Cílem MAP je zlepšit kvalitu vzdělávání v mateřských a základních školách tím, že bude podpořena spolupráce zřizovatelů, škol a</w:t>
      </w:r>
      <w:r w:rsidR="00EE15D0">
        <w:t xml:space="preserve"> ostatních aktérů ve vzdělávání.</w:t>
      </w:r>
      <w:r w:rsidRPr="000841E6">
        <w:t xml:space="preserve"> </w:t>
      </w:r>
      <w:r w:rsidR="00EE15D0">
        <w:t>T</w:t>
      </w:r>
      <w:r w:rsidRPr="000841E6">
        <w:t xml:space="preserve">o znamená společné informování, vzdělávání a plánování partnerských aktivit pro řešení místně specifických problémů a potřeb. Tato spolupráce povede k: </w:t>
      </w:r>
    </w:p>
    <w:p w:rsidR="000841E6" w:rsidRPr="000841E6" w:rsidRDefault="000841E6" w:rsidP="00DA2801">
      <w:pPr>
        <w:pStyle w:val="Bezmezer"/>
        <w:numPr>
          <w:ilvl w:val="0"/>
          <w:numId w:val="27"/>
        </w:numPr>
      </w:pPr>
      <w:r w:rsidRPr="000841E6">
        <w:t>systémovému zlepšení řízení mateřských a základních škol prostřednictvím začleňování dlouhodobého plánování jako nás</w:t>
      </w:r>
      <w:r w:rsidR="005F1640">
        <w:t>troje ke kvalitnímu řízení škol</w:t>
      </w:r>
      <w:r w:rsidRPr="000841E6">
        <w:t xml:space="preserve"> </w:t>
      </w:r>
    </w:p>
    <w:p w:rsidR="000841E6" w:rsidRPr="000841E6" w:rsidRDefault="000841E6" w:rsidP="00DA2801">
      <w:pPr>
        <w:pStyle w:val="Bezmezer"/>
        <w:numPr>
          <w:ilvl w:val="0"/>
          <w:numId w:val="27"/>
        </w:numPr>
      </w:pPr>
      <w:r w:rsidRPr="000841E6">
        <w:t>sdílenému porozumění cíle orientace na k</w:t>
      </w:r>
      <w:r w:rsidR="005F1640">
        <w:t>valitní a inkluzivní vzdělávání</w:t>
      </w:r>
      <w:r w:rsidRPr="000841E6">
        <w:t xml:space="preserve"> </w:t>
      </w:r>
    </w:p>
    <w:p w:rsidR="000841E6" w:rsidRPr="000841E6" w:rsidRDefault="000841E6" w:rsidP="00DA2801">
      <w:pPr>
        <w:pStyle w:val="Bezmezer"/>
        <w:numPr>
          <w:ilvl w:val="0"/>
          <w:numId w:val="27"/>
        </w:numPr>
      </w:pPr>
      <w:r w:rsidRPr="000841E6">
        <w:t>podpoře</w:t>
      </w:r>
      <w:r w:rsidR="00EE15D0">
        <w:t xml:space="preserve"> škol se slabšími výsledky</w:t>
      </w:r>
      <w:r w:rsidRPr="000841E6">
        <w:t xml:space="preserve"> a </w:t>
      </w:r>
      <w:r w:rsidR="005F1640">
        <w:t>rozvoji potenciálu každého žáka</w:t>
      </w:r>
      <w:r w:rsidRPr="000841E6">
        <w:t xml:space="preserve"> </w:t>
      </w:r>
    </w:p>
    <w:p w:rsidR="000841E6" w:rsidRPr="000841E6" w:rsidRDefault="000841E6" w:rsidP="00DA2801">
      <w:pPr>
        <w:pStyle w:val="Bezmezer"/>
        <w:numPr>
          <w:ilvl w:val="0"/>
          <w:numId w:val="27"/>
        </w:numPr>
      </w:pPr>
      <w:r w:rsidRPr="000841E6">
        <w:t>dostupnosti kvalitního vzdělávání každého</w:t>
      </w:r>
      <w:r w:rsidR="005F1640">
        <w:t xml:space="preserve"> dítěte/žáka v inkluzivní škole</w:t>
      </w:r>
      <w:r w:rsidRPr="000841E6">
        <w:t xml:space="preserve"> </w:t>
      </w:r>
    </w:p>
    <w:p w:rsidR="000841E6" w:rsidRDefault="000841E6" w:rsidP="00DA2801">
      <w:pPr>
        <w:pStyle w:val="Bezmezer"/>
        <w:numPr>
          <w:ilvl w:val="0"/>
          <w:numId w:val="27"/>
        </w:numPr>
      </w:pPr>
      <w:r w:rsidRPr="000841E6">
        <w:t>zlepšení spolupráce v území a využívání místních mimoškolních zdrojů pro rozvoj vzdělávání dětí a žáků a ke zlepšení</w:t>
      </w:r>
      <w:r w:rsidR="005F1640">
        <w:t xml:space="preserve"> spolupráce s rodiči</w:t>
      </w:r>
    </w:p>
    <w:p w:rsidR="004224AA" w:rsidRPr="00F44894" w:rsidRDefault="004224AA" w:rsidP="00955CEC">
      <w:pPr>
        <w:pStyle w:val="Bezmezer"/>
        <w:rPr>
          <w:b/>
        </w:rPr>
      </w:pPr>
      <w:r w:rsidRPr="00F44894">
        <w:rPr>
          <w:b/>
        </w:rPr>
        <w:t>Místní akční plán stanovuje priority a jednotlivé kroky nutné k dosažení cílů vzdělávací politiky v území na základě místní potřebnosti a naléhavosti, lokálních přínosů a podloženosti r</w:t>
      </w:r>
      <w:r w:rsidR="004F2CEA" w:rsidRPr="00F44894">
        <w:rPr>
          <w:b/>
        </w:rPr>
        <w:t>eálnými daty a analýzami z území</w:t>
      </w:r>
      <w:r w:rsidRPr="00F44894">
        <w:rPr>
          <w:b/>
        </w:rPr>
        <w:t>. Je zpracováván ve spolupráci s partnery v území.</w:t>
      </w:r>
    </w:p>
    <w:p w:rsidR="00A67EE5" w:rsidRDefault="00E625D3" w:rsidP="00955CEC">
      <w:pPr>
        <w:pStyle w:val="Nadpis2"/>
      </w:pPr>
      <w:bookmarkStart w:id="7" w:name="_Toc465592555"/>
      <w:r>
        <w:lastRenderedPageBreak/>
        <w:t>Rámcový obsah MAP</w:t>
      </w:r>
      <w:bookmarkEnd w:id="7"/>
    </w:p>
    <w:p w:rsidR="00E625D3" w:rsidRDefault="00E625D3" w:rsidP="00955CEC">
      <w:pPr>
        <w:pStyle w:val="Bezmezer"/>
      </w:pPr>
      <w:r w:rsidRPr="00E625D3">
        <w:t>Každý místní akční plán rozvoje vzdělávání bude ve výsledku obsahovat tři povinná opatření:</w:t>
      </w:r>
    </w:p>
    <w:p w:rsidR="00E625D3" w:rsidRPr="00E625D3" w:rsidRDefault="00E625D3" w:rsidP="00DA2801">
      <w:pPr>
        <w:pStyle w:val="Bezmezer"/>
        <w:numPr>
          <w:ilvl w:val="0"/>
          <w:numId w:val="28"/>
        </w:numPr>
      </w:pPr>
      <w:r w:rsidRPr="00E625D3">
        <w:t xml:space="preserve">Předškolní vzdělávání a péče: dostupnost – inkluze – kvalita </w:t>
      </w:r>
    </w:p>
    <w:p w:rsidR="00E625D3" w:rsidRPr="00E625D3" w:rsidRDefault="00E625D3" w:rsidP="00DA2801">
      <w:pPr>
        <w:pStyle w:val="Bezmezer"/>
        <w:numPr>
          <w:ilvl w:val="0"/>
          <w:numId w:val="28"/>
        </w:numPr>
      </w:pPr>
      <w:r w:rsidRPr="00E625D3">
        <w:t xml:space="preserve">Čtenářská a matematická gramotnost v základním vzdělávání </w:t>
      </w:r>
    </w:p>
    <w:p w:rsidR="006265A6" w:rsidRPr="00E625D3" w:rsidRDefault="00E625D3" w:rsidP="00DA2801">
      <w:pPr>
        <w:pStyle w:val="Bezmezer"/>
        <w:numPr>
          <w:ilvl w:val="0"/>
          <w:numId w:val="28"/>
        </w:numPr>
      </w:pPr>
      <w:r w:rsidRPr="00E625D3">
        <w:t>Inkluzivní vzdělávání a podpora dětí a žáků ohrožených školním neúspěchem</w:t>
      </w:r>
    </w:p>
    <w:p w:rsidR="00E625D3" w:rsidRDefault="00E625D3" w:rsidP="00955CEC">
      <w:pPr>
        <w:pStyle w:val="Bezmezer"/>
      </w:pPr>
      <w:r>
        <w:t>A rovněž je možné zpracovat další tři doporučená opatření:</w:t>
      </w:r>
    </w:p>
    <w:p w:rsidR="00E625D3" w:rsidRPr="00E625D3" w:rsidRDefault="00E625D3" w:rsidP="00DA2801">
      <w:pPr>
        <w:pStyle w:val="Bezmezer"/>
        <w:numPr>
          <w:ilvl w:val="0"/>
          <w:numId w:val="29"/>
        </w:numPr>
      </w:pPr>
      <w:r w:rsidRPr="00E625D3">
        <w:t>Rozvoj podnikavosti a iniciativy dětí a žáků</w:t>
      </w:r>
    </w:p>
    <w:p w:rsidR="00E625D3" w:rsidRPr="00E625D3" w:rsidRDefault="00E625D3" w:rsidP="00DA2801">
      <w:pPr>
        <w:pStyle w:val="Bezmezer"/>
        <w:numPr>
          <w:ilvl w:val="0"/>
          <w:numId w:val="29"/>
        </w:numPr>
      </w:pPr>
      <w:r w:rsidRPr="00E625D3">
        <w:t>Rozvoj kompetencí dětí a žáků v polytechnickém vzdělávání (podpora zájmu, motivace a dovedností v oblasti vědy, technol</w:t>
      </w:r>
      <w:r w:rsidR="004F2CEA">
        <w:t>ogií, inženýringu a matematiky</w:t>
      </w:r>
      <w:r w:rsidRPr="00E625D3">
        <w:t>)</w:t>
      </w:r>
    </w:p>
    <w:p w:rsidR="00E625D3" w:rsidRPr="00E625D3" w:rsidRDefault="00E625D3" w:rsidP="00DA2801">
      <w:pPr>
        <w:pStyle w:val="Bezmezer"/>
        <w:numPr>
          <w:ilvl w:val="0"/>
          <w:numId w:val="29"/>
        </w:numPr>
      </w:pPr>
      <w:r w:rsidRPr="00E625D3">
        <w:t>Kariérové poradenství v základních školách</w:t>
      </w:r>
    </w:p>
    <w:p w:rsidR="006265A6" w:rsidRPr="006265A6" w:rsidRDefault="00AC133E" w:rsidP="00955CEC">
      <w:pPr>
        <w:pStyle w:val="Nadpis2"/>
      </w:pPr>
      <w:bookmarkStart w:id="8" w:name="_Toc465592556"/>
      <w:r>
        <w:t>Struktura MAP</w:t>
      </w:r>
      <w:bookmarkEnd w:id="8"/>
    </w:p>
    <w:p w:rsidR="00AC133E" w:rsidRDefault="00AC133E" w:rsidP="00955CEC">
      <w:pPr>
        <w:pStyle w:val="Bezmezer"/>
      </w:pPr>
      <w:r>
        <w:t>MAP</w:t>
      </w:r>
      <w:r w:rsidRPr="00AC133E">
        <w:t xml:space="preserve"> </w:t>
      </w:r>
      <w:r>
        <w:t xml:space="preserve">je </w:t>
      </w:r>
      <w:r w:rsidRPr="00AC133E">
        <w:t xml:space="preserve">členěn do </w:t>
      </w:r>
      <w:r w:rsidR="006844CC">
        <w:t>následující</w:t>
      </w:r>
      <w:r w:rsidRPr="00AC133E">
        <w:t xml:space="preserve"> struktury a </w:t>
      </w:r>
      <w:r>
        <w:t>obsahuje</w:t>
      </w:r>
      <w:r w:rsidRPr="00AC133E">
        <w:t xml:space="preserve"> tři povinná opatření s možností volby doporučených a volitelných opatření: </w:t>
      </w:r>
    </w:p>
    <w:p w:rsidR="00AC133E" w:rsidRDefault="00AC133E" w:rsidP="00DA2801">
      <w:pPr>
        <w:pStyle w:val="Bezmezer"/>
        <w:numPr>
          <w:ilvl w:val="0"/>
          <w:numId w:val="30"/>
        </w:numPr>
      </w:pPr>
      <w:r w:rsidRPr="00AC133E">
        <w:t xml:space="preserve">Analytická část </w:t>
      </w:r>
    </w:p>
    <w:p w:rsidR="00AC133E" w:rsidRDefault="00AC133E" w:rsidP="00DA2801">
      <w:pPr>
        <w:pStyle w:val="Bezmezer"/>
        <w:numPr>
          <w:ilvl w:val="0"/>
          <w:numId w:val="30"/>
        </w:numPr>
      </w:pPr>
      <w:r w:rsidRPr="00AC133E">
        <w:t xml:space="preserve">Strategický rámec MAP </w:t>
      </w:r>
    </w:p>
    <w:p w:rsidR="006844CC" w:rsidRDefault="00AC133E" w:rsidP="00DA2801">
      <w:pPr>
        <w:pStyle w:val="Bezmezer"/>
        <w:numPr>
          <w:ilvl w:val="0"/>
          <w:numId w:val="30"/>
        </w:numPr>
      </w:pPr>
      <w:r w:rsidRPr="00AC133E">
        <w:t>Opatření</w:t>
      </w:r>
      <w:r>
        <w:t xml:space="preserve"> –</w:t>
      </w:r>
      <w:r w:rsidR="00660ADD">
        <w:t xml:space="preserve"> k</w:t>
      </w:r>
      <w:r w:rsidRPr="00AC133E">
        <w:t>aždé opatření bude zpra</w:t>
      </w:r>
      <w:r w:rsidR="006844CC">
        <w:t>cováno v následující struktuře:</w:t>
      </w:r>
    </w:p>
    <w:p w:rsidR="006844CC" w:rsidRDefault="00AC133E" w:rsidP="00DA2801">
      <w:pPr>
        <w:pStyle w:val="Bezmezer"/>
        <w:numPr>
          <w:ilvl w:val="1"/>
          <w:numId w:val="30"/>
        </w:numPr>
      </w:pPr>
      <w:r w:rsidRPr="00AC133E">
        <w:t>Odůvodnění výběru opatř</w:t>
      </w:r>
      <w:r>
        <w:t>ení na základě místní analýzy</w:t>
      </w:r>
      <w:r w:rsidR="00660ADD">
        <w:t>:</w:t>
      </w:r>
    </w:p>
    <w:p w:rsidR="006844CC" w:rsidRDefault="00AC133E" w:rsidP="00DA2801">
      <w:pPr>
        <w:pStyle w:val="Bezmezer"/>
        <w:numPr>
          <w:ilvl w:val="2"/>
          <w:numId w:val="30"/>
        </w:numPr>
      </w:pPr>
      <w:r w:rsidRPr="00AC133E">
        <w:t>Cíl opatření</w:t>
      </w:r>
      <w:r>
        <w:t xml:space="preserve"> (</w:t>
      </w:r>
      <w:r w:rsidRPr="00AC133E">
        <w:t>čeho</w:t>
      </w:r>
      <w:r>
        <w:t xml:space="preserve"> je třeba </w:t>
      </w:r>
      <w:r w:rsidRPr="00AC133E">
        <w:t>dosáhnout v tomto opatření</w:t>
      </w:r>
      <w:r>
        <w:t>)</w:t>
      </w:r>
    </w:p>
    <w:p w:rsidR="006844CC" w:rsidRDefault="00AC133E" w:rsidP="00DA2801">
      <w:pPr>
        <w:pStyle w:val="Bezmezer"/>
        <w:numPr>
          <w:ilvl w:val="2"/>
          <w:numId w:val="30"/>
        </w:numPr>
      </w:pPr>
      <w:r w:rsidRPr="00AC133E">
        <w:t>Popis kroků k na</w:t>
      </w:r>
      <w:r>
        <w:t>plnění cíle – tři typy aktivit:</w:t>
      </w:r>
    </w:p>
    <w:p w:rsidR="006844CC" w:rsidRDefault="00AC133E" w:rsidP="00DA2801">
      <w:pPr>
        <w:pStyle w:val="Bezmezer"/>
        <w:numPr>
          <w:ilvl w:val="3"/>
          <w:numId w:val="31"/>
        </w:numPr>
      </w:pPr>
      <w:r>
        <w:t>Aktivity jednotlivých škol</w:t>
      </w:r>
    </w:p>
    <w:p w:rsidR="006844CC" w:rsidRDefault="00AC133E" w:rsidP="00DA2801">
      <w:pPr>
        <w:pStyle w:val="Bezmezer"/>
        <w:numPr>
          <w:ilvl w:val="3"/>
          <w:numId w:val="31"/>
        </w:numPr>
      </w:pPr>
      <w:r>
        <w:t>Aktivity spolupráce</w:t>
      </w:r>
    </w:p>
    <w:p w:rsidR="007C1099" w:rsidRDefault="00AC133E" w:rsidP="00DA2801">
      <w:pPr>
        <w:pStyle w:val="Bezmezer"/>
        <w:numPr>
          <w:ilvl w:val="3"/>
          <w:numId w:val="31"/>
        </w:numPr>
      </w:pPr>
      <w:r w:rsidRPr="00AC133E">
        <w:t>Infrastruktura</w:t>
      </w:r>
    </w:p>
    <w:p w:rsidR="007B585E" w:rsidRDefault="007B585E" w:rsidP="007B585E">
      <w:pPr>
        <w:pStyle w:val="Bezmezer"/>
        <w:rPr>
          <w:rFonts w:eastAsiaTheme="majorEastAsia" w:cstheme="majorBidi"/>
          <w:sz w:val="32"/>
          <w:szCs w:val="28"/>
        </w:rPr>
      </w:pPr>
      <w:r>
        <w:br w:type="page"/>
      </w:r>
    </w:p>
    <w:p w:rsidR="006265A6" w:rsidRDefault="00386408" w:rsidP="00955CEC">
      <w:pPr>
        <w:pStyle w:val="Nadpis1"/>
      </w:pPr>
      <w:bookmarkStart w:id="9" w:name="_Toc465592557"/>
      <w:r>
        <w:lastRenderedPageBreak/>
        <w:t>Stručná charakteristika</w:t>
      </w:r>
      <w:r w:rsidR="0086107C">
        <w:t xml:space="preserve"> SO ORP Kutná Hora</w:t>
      </w:r>
      <w:bookmarkEnd w:id="9"/>
    </w:p>
    <w:p w:rsidR="00386408" w:rsidRDefault="00386408" w:rsidP="00955CEC">
      <w:pPr>
        <w:pStyle w:val="Nadpis2"/>
      </w:pPr>
      <w:bookmarkStart w:id="10" w:name="_Toc465592558"/>
      <w:r>
        <w:t>Identifikace správního obvodu</w:t>
      </w:r>
      <w:bookmarkEnd w:id="10"/>
    </w:p>
    <w:p w:rsidR="00D46D64" w:rsidRDefault="00B959B3" w:rsidP="00955CEC">
      <w:pPr>
        <w:pStyle w:val="Bezmezer"/>
      </w:pPr>
      <w:r w:rsidRPr="00B959B3">
        <w:t xml:space="preserve">Administrativní území </w:t>
      </w:r>
      <w:r w:rsidR="00FC0BD9">
        <w:t xml:space="preserve">SO </w:t>
      </w:r>
      <w:r w:rsidRPr="00B959B3">
        <w:t xml:space="preserve">ORP Kutná Hora tvoří východní okraj Středočeského kraje. Svým severovýchodním cípem přímo sousedí s ORP Přelouč (Pardubický kraj), jižní část zase navazuje na území ORP Světlá nad Sázavou (kraj Vysočina). V rámci Středočeského kraje obklopují řešené území celky ORP Kolín, Čáslav, Vlašim, Benešov a Říčany. Administrativním (méně už prostorovým) centrem je město Kutná Hora. Roli pověřených obecních úřadů dále plní zbylá dvě města, Uhlířské Janovice a Zruč nad Sázavou. Ta částečně tlumí dominantní socioekonomickou pozici Kutné Hory. Vzniká tak funkčně opodstatněný triangl, jehož vůdčím vrcholem je Kutná Hora (v neposlední řadě z důvodu daleko nejpříznivějších podmínek z hlediska dopravního napojení na hierarchicky výše postavená města). </w:t>
      </w:r>
      <w:proofErr w:type="spellStart"/>
      <w:r w:rsidRPr="00B959B3">
        <w:t>Fyzickogeograficky</w:t>
      </w:r>
      <w:proofErr w:type="spellEnd"/>
      <w:r w:rsidRPr="00B959B3">
        <w:t xml:space="preserve"> nejpodstatnějš</w:t>
      </w:r>
      <w:r w:rsidR="0076598E">
        <w:t>ím momentem je poloha na pomezí, g</w:t>
      </w:r>
      <w:r w:rsidRPr="00B959B3">
        <w:t>eomorfologie území zahrnuje jak úrodnou rovinu středního Polabí na severu až severozápadě, tak zvedající se Českomoravskou vrchovinu na jihu a jihovýchodě. Dominantními řekami jsou tedy Labe s rozsáhlou nivou a Sázava, od které se naopak zvedají příkré svahy.</w:t>
      </w:r>
      <w:r>
        <w:t xml:space="preserve"> </w:t>
      </w:r>
    </w:p>
    <w:p w:rsidR="0003389E" w:rsidRDefault="0003389E" w:rsidP="00955CEC">
      <w:pPr>
        <w:pStyle w:val="Nadpis5"/>
      </w:pPr>
      <w:r>
        <w:t>Obrázek: Mapa SO ORP včetně okolí</w:t>
      </w:r>
    </w:p>
    <w:p w:rsidR="0003389E" w:rsidRDefault="0003389E" w:rsidP="00955CEC">
      <w:pPr>
        <w:pStyle w:val="Bezmezer"/>
      </w:pPr>
      <w:r>
        <w:rPr>
          <w:noProof/>
          <w:lang w:eastAsia="cs-CZ"/>
        </w:rPr>
        <w:drawing>
          <wp:inline distT="0" distB="0" distL="0" distR="0">
            <wp:extent cx="5759450" cy="2978785"/>
            <wp:effectExtent l="19050" t="0" r="0" b="0"/>
            <wp:docPr id="1" name="Obrázek 0" descr="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jpg"/>
                    <pic:cNvPicPr/>
                  </pic:nvPicPr>
                  <pic:blipFill>
                    <a:blip r:embed="rId10" cstate="print"/>
                    <a:stretch>
                      <a:fillRect/>
                    </a:stretch>
                  </pic:blipFill>
                  <pic:spPr>
                    <a:xfrm>
                      <a:off x="0" y="0"/>
                      <a:ext cx="5759450" cy="2978785"/>
                    </a:xfrm>
                    <a:prstGeom prst="rect">
                      <a:avLst/>
                    </a:prstGeom>
                  </pic:spPr>
                </pic:pic>
              </a:graphicData>
            </a:graphic>
          </wp:inline>
        </w:drawing>
      </w:r>
    </w:p>
    <w:p w:rsidR="0003389E" w:rsidRDefault="00386408" w:rsidP="00955CEC">
      <w:pPr>
        <w:pStyle w:val="Nadpis2"/>
      </w:pPr>
      <w:bookmarkStart w:id="11" w:name="_Toc465592559"/>
      <w:r>
        <w:t>Obce a obyvatelstvo</w:t>
      </w:r>
      <w:bookmarkEnd w:id="11"/>
    </w:p>
    <w:p w:rsidR="00386408" w:rsidRPr="00386408" w:rsidRDefault="009F05D8" w:rsidP="00955CEC">
      <w:pPr>
        <w:pStyle w:val="Bezmezer"/>
      </w:pPr>
      <w:r>
        <w:t xml:space="preserve">Následující tabulka popisuje základní charakteristiky </w:t>
      </w:r>
      <w:r w:rsidR="006D36D8">
        <w:t xml:space="preserve">regionu v roce 2015. SO </w:t>
      </w:r>
      <w:r w:rsidR="00386408" w:rsidRPr="00386408">
        <w:t xml:space="preserve">ORP Kutná Hora patří co do počtu obcí k rozsáhlejším (průměr ČR se pohybuje kolem třiceti). Tyto obce jsou dále rozdrobeny do velkého množství katastrálních území a částí. Rozdrobenost sídelní struktury je </w:t>
      </w:r>
      <w:r w:rsidR="00C52C81">
        <w:t xml:space="preserve">mimo jiné </w:t>
      </w:r>
      <w:r w:rsidR="00386408" w:rsidRPr="00386408">
        <w:t>jedním ze stěžejních témat</w:t>
      </w:r>
      <w:r w:rsidR="00C52C81">
        <w:t xml:space="preserve"> regionálního školství</w:t>
      </w:r>
      <w:r w:rsidR="009D0382">
        <w:t xml:space="preserve"> (problematika dojíždění do škol)</w:t>
      </w:r>
      <w:r w:rsidR="00C52C81">
        <w:t>.</w:t>
      </w:r>
      <w:r w:rsidR="00386408" w:rsidRPr="00386408">
        <w:t xml:space="preserve"> Počet větších měst, případně městysů předešlé podtrhuje.</w:t>
      </w:r>
      <w:r w:rsidR="0019252F">
        <w:t xml:space="preserve"> Rovněž hustota zalidnění není vysoká (zhruba 2/3 celorepublikového průměru) a situaci dokresluje značná vzdálenost krajních prostor ve správním obvodu.</w:t>
      </w:r>
    </w:p>
    <w:p w:rsidR="00386408" w:rsidRDefault="00386408" w:rsidP="00955CEC">
      <w:pPr>
        <w:pStyle w:val="Nadpis5"/>
      </w:pPr>
      <w:r>
        <w:lastRenderedPageBreak/>
        <w:t xml:space="preserve">Tabulka: Základní charakteristika </w:t>
      </w:r>
      <w:r w:rsidR="00625CF0">
        <w:t>SO ORP Kutná Hora</w:t>
      </w:r>
      <w:r>
        <w:t xml:space="preserve"> v roce 2015</w:t>
      </w:r>
    </w:p>
    <w:tbl>
      <w:tblPr>
        <w:tblStyle w:val="Mkatabulky"/>
        <w:tblW w:w="9072"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961"/>
        <w:gridCol w:w="740"/>
        <w:gridCol w:w="851"/>
        <w:gridCol w:w="992"/>
        <w:gridCol w:w="851"/>
        <w:gridCol w:w="992"/>
        <w:gridCol w:w="992"/>
        <w:gridCol w:w="1418"/>
        <w:gridCol w:w="1275"/>
      </w:tblGrid>
      <w:tr w:rsidR="00710366" w:rsidRPr="00710366" w:rsidTr="00676752">
        <w:trPr>
          <w:trHeight w:val="284"/>
        </w:trPr>
        <w:tc>
          <w:tcPr>
            <w:tcW w:w="961" w:type="dxa"/>
            <w:shd w:val="clear" w:color="auto" w:fill="FABF8F" w:themeFill="accent6" w:themeFillTint="99"/>
            <w:vAlign w:val="bottom"/>
          </w:tcPr>
          <w:p w:rsidR="00D1499B" w:rsidRPr="00710366" w:rsidRDefault="00D1499B" w:rsidP="00676752">
            <w:pPr>
              <w:pStyle w:val="Nzev"/>
              <w:jc w:val="center"/>
            </w:pPr>
            <w:r w:rsidRPr="00710366">
              <w:t>Počet obyvatel</w:t>
            </w:r>
          </w:p>
        </w:tc>
        <w:tc>
          <w:tcPr>
            <w:tcW w:w="740" w:type="dxa"/>
            <w:shd w:val="clear" w:color="auto" w:fill="FABF8F" w:themeFill="accent6" w:themeFillTint="99"/>
            <w:vAlign w:val="bottom"/>
          </w:tcPr>
          <w:p w:rsidR="00D1499B" w:rsidRPr="00710366" w:rsidRDefault="00D1499B" w:rsidP="00676752">
            <w:pPr>
              <w:pStyle w:val="Nzev"/>
              <w:jc w:val="center"/>
            </w:pPr>
            <w:r w:rsidRPr="00710366">
              <w:t>Počet obcí</w:t>
            </w:r>
          </w:p>
        </w:tc>
        <w:tc>
          <w:tcPr>
            <w:tcW w:w="851" w:type="dxa"/>
            <w:shd w:val="clear" w:color="auto" w:fill="FABF8F" w:themeFill="accent6" w:themeFillTint="99"/>
            <w:vAlign w:val="bottom"/>
          </w:tcPr>
          <w:p w:rsidR="00D1499B" w:rsidRPr="00710366" w:rsidRDefault="00D1499B" w:rsidP="00676752">
            <w:pPr>
              <w:pStyle w:val="Nzev"/>
              <w:jc w:val="center"/>
            </w:pPr>
            <w:r w:rsidRPr="00710366">
              <w:t>Počet částí obce</w:t>
            </w:r>
          </w:p>
        </w:tc>
        <w:tc>
          <w:tcPr>
            <w:tcW w:w="992" w:type="dxa"/>
            <w:shd w:val="clear" w:color="auto" w:fill="FABF8F" w:themeFill="accent6" w:themeFillTint="99"/>
            <w:vAlign w:val="bottom"/>
          </w:tcPr>
          <w:p w:rsidR="00D1499B" w:rsidRPr="00710366" w:rsidRDefault="00D1499B" w:rsidP="00676752">
            <w:pPr>
              <w:pStyle w:val="Nzev"/>
              <w:jc w:val="center"/>
            </w:pPr>
            <w:r w:rsidRPr="00710366">
              <w:t xml:space="preserve">Počet katastr. </w:t>
            </w:r>
            <w:proofErr w:type="gramStart"/>
            <w:r w:rsidRPr="00710366">
              <w:t>území</w:t>
            </w:r>
            <w:proofErr w:type="gramEnd"/>
          </w:p>
        </w:tc>
        <w:tc>
          <w:tcPr>
            <w:tcW w:w="851" w:type="dxa"/>
            <w:shd w:val="clear" w:color="auto" w:fill="FABF8F" w:themeFill="accent6" w:themeFillTint="99"/>
            <w:vAlign w:val="bottom"/>
          </w:tcPr>
          <w:p w:rsidR="00D1499B" w:rsidRPr="00710366" w:rsidRDefault="00D1499B" w:rsidP="00676752">
            <w:pPr>
              <w:pStyle w:val="Nzev"/>
              <w:jc w:val="center"/>
            </w:pPr>
            <w:r w:rsidRPr="00710366">
              <w:t>Počet měst</w:t>
            </w:r>
          </w:p>
        </w:tc>
        <w:tc>
          <w:tcPr>
            <w:tcW w:w="992" w:type="dxa"/>
            <w:shd w:val="clear" w:color="auto" w:fill="FABF8F" w:themeFill="accent6" w:themeFillTint="99"/>
            <w:vAlign w:val="bottom"/>
          </w:tcPr>
          <w:p w:rsidR="00D1499B" w:rsidRPr="00710366" w:rsidRDefault="00D1499B" w:rsidP="00676752">
            <w:pPr>
              <w:pStyle w:val="Nzev"/>
              <w:jc w:val="center"/>
            </w:pPr>
            <w:r w:rsidRPr="00710366">
              <w:t>Počet městysů</w:t>
            </w:r>
          </w:p>
        </w:tc>
        <w:tc>
          <w:tcPr>
            <w:tcW w:w="992" w:type="dxa"/>
            <w:shd w:val="clear" w:color="auto" w:fill="FABF8F" w:themeFill="accent6" w:themeFillTint="99"/>
            <w:vAlign w:val="bottom"/>
          </w:tcPr>
          <w:p w:rsidR="00D1499B" w:rsidRPr="00710366" w:rsidRDefault="00D1499B" w:rsidP="00676752">
            <w:pPr>
              <w:pStyle w:val="Nzev"/>
              <w:jc w:val="center"/>
            </w:pPr>
            <w:r w:rsidRPr="00710366">
              <w:t>Výměra (km2)</w:t>
            </w:r>
          </w:p>
        </w:tc>
        <w:tc>
          <w:tcPr>
            <w:tcW w:w="1418" w:type="dxa"/>
            <w:shd w:val="clear" w:color="auto" w:fill="FABF8F" w:themeFill="accent6" w:themeFillTint="99"/>
            <w:vAlign w:val="bottom"/>
          </w:tcPr>
          <w:p w:rsidR="00D1499B" w:rsidRPr="00710366" w:rsidRDefault="00D1499B" w:rsidP="00676752">
            <w:pPr>
              <w:pStyle w:val="Nzev"/>
              <w:jc w:val="center"/>
            </w:pPr>
            <w:r w:rsidRPr="00710366">
              <w:t>Hustota zalidnění (osoby/km2)</w:t>
            </w:r>
          </w:p>
        </w:tc>
        <w:tc>
          <w:tcPr>
            <w:tcW w:w="1275" w:type="dxa"/>
            <w:shd w:val="clear" w:color="auto" w:fill="FABF8F" w:themeFill="accent6" w:themeFillTint="99"/>
            <w:vAlign w:val="bottom"/>
          </w:tcPr>
          <w:p w:rsidR="00D1499B" w:rsidRPr="00710366" w:rsidRDefault="00D1499B" w:rsidP="00676752">
            <w:pPr>
              <w:pStyle w:val="Nzev"/>
              <w:jc w:val="center"/>
            </w:pPr>
            <w:r w:rsidRPr="00710366">
              <w:t xml:space="preserve">Vzdálenosti </w:t>
            </w:r>
            <w:proofErr w:type="spellStart"/>
            <w:r w:rsidRPr="00710366">
              <w:t>SxJ</w:t>
            </w:r>
            <w:proofErr w:type="spellEnd"/>
            <w:r w:rsidRPr="00710366">
              <w:t xml:space="preserve"> a </w:t>
            </w:r>
            <w:proofErr w:type="spellStart"/>
            <w:r w:rsidRPr="00710366">
              <w:t>ZxV</w:t>
            </w:r>
            <w:proofErr w:type="spellEnd"/>
            <w:r w:rsidRPr="00710366">
              <w:t xml:space="preserve"> (km)</w:t>
            </w:r>
          </w:p>
        </w:tc>
      </w:tr>
      <w:tr w:rsidR="00710366" w:rsidRPr="00710366" w:rsidTr="00676752">
        <w:trPr>
          <w:trHeight w:val="284"/>
        </w:trPr>
        <w:tc>
          <w:tcPr>
            <w:tcW w:w="961" w:type="dxa"/>
            <w:vAlign w:val="bottom"/>
          </w:tcPr>
          <w:p w:rsidR="00D1499B" w:rsidRPr="00710366" w:rsidRDefault="00D1499B" w:rsidP="00676752">
            <w:pPr>
              <w:pStyle w:val="Nzev"/>
              <w:jc w:val="center"/>
            </w:pPr>
            <w:r w:rsidRPr="00710366">
              <w:t>49009</w:t>
            </w:r>
          </w:p>
        </w:tc>
        <w:tc>
          <w:tcPr>
            <w:tcW w:w="740" w:type="dxa"/>
            <w:vAlign w:val="bottom"/>
          </w:tcPr>
          <w:p w:rsidR="00D1499B" w:rsidRPr="00710366" w:rsidRDefault="00D1499B" w:rsidP="00676752">
            <w:pPr>
              <w:pStyle w:val="Nzev"/>
              <w:jc w:val="center"/>
            </w:pPr>
            <w:r w:rsidRPr="00710366">
              <w:t>51</w:t>
            </w:r>
          </w:p>
        </w:tc>
        <w:tc>
          <w:tcPr>
            <w:tcW w:w="851" w:type="dxa"/>
            <w:vAlign w:val="bottom"/>
          </w:tcPr>
          <w:p w:rsidR="00D1499B" w:rsidRPr="00710366" w:rsidRDefault="00D1499B" w:rsidP="00676752">
            <w:pPr>
              <w:pStyle w:val="Nzev"/>
              <w:jc w:val="center"/>
            </w:pPr>
            <w:r w:rsidRPr="00710366">
              <w:t>232</w:t>
            </w:r>
          </w:p>
        </w:tc>
        <w:tc>
          <w:tcPr>
            <w:tcW w:w="992" w:type="dxa"/>
            <w:vAlign w:val="bottom"/>
          </w:tcPr>
          <w:p w:rsidR="00D1499B" w:rsidRPr="00710366" w:rsidRDefault="00D1499B" w:rsidP="00676752">
            <w:pPr>
              <w:pStyle w:val="Nzev"/>
              <w:jc w:val="center"/>
            </w:pPr>
            <w:r w:rsidRPr="00710366">
              <w:t>156</w:t>
            </w:r>
          </w:p>
        </w:tc>
        <w:tc>
          <w:tcPr>
            <w:tcW w:w="851" w:type="dxa"/>
            <w:vAlign w:val="bottom"/>
          </w:tcPr>
          <w:p w:rsidR="00D1499B" w:rsidRPr="00710366" w:rsidRDefault="00D1499B" w:rsidP="00676752">
            <w:pPr>
              <w:pStyle w:val="Nzev"/>
              <w:jc w:val="center"/>
            </w:pPr>
            <w:r w:rsidRPr="00710366">
              <w:t>3</w:t>
            </w:r>
          </w:p>
        </w:tc>
        <w:tc>
          <w:tcPr>
            <w:tcW w:w="992" w:type="dxa"/>
            <w:vAlign w:val="bottom"/>
          </w:tcPr>
          <w:p w:rsidR="00D1499B" w:rsidRPr="00710366" w:rsidRDefault="00D1499B" w:rsidP="00676752">
            <w:pPr>
              <w:pStyle w:val="Nzev"/>
              <w:jc w:val="center"/>
            </w:pPr>
            <w:r w:rsidRPr="00710366">
              <w:t>4</w:t>
            </w:r>
          </w:p>
        </w:tc>
        <w:tc>
          <w:tcPr>
            <w:tcW w:w="992" w:type="dxa"/>
            <w:vAlign w:val="bottom"/>
          </w:tcPr>
          <w:p w:rsidR="00D1499B" w:rsidRPr="00710366" w:rsidRDefault="00D1499B" w:rsidP="00676752">
            <w:pPr>
              <w:pStyle w:val="Nzev"/>
              <w:jc w:val="center"/>
            </w:pPr>
            <w:r w:rsidRPr="00710366">
              <w:t>643</w:t>
            </w:r>
          </w:p>
        </w:tc>
        <w:tc>
          <w:tcPr>
            <w:tcW w:w="1418" w:type="dxa"/>
            <w:vAlign w:val="bottom"/>
          </w:tcPr>
          <w:p w:rsidR="00D1499B" w:rsidRPr="00710366" w:rsidRDefault="00D1499B" w:rsidP="00676752">
            <w:pPr>
              <w:pStyle w:val="Nzev"/>
              <w:jc w:val="center"/>
            </w:pPr>
            <w:r w:rsidRPr="00710366">
              <w:t>76</w:t>
            </w:r>
          </w:p>
        </w:tc>
        <w:tc>
          <w:tcPr>
            <w:tcW w:w="1275" w:type="dxa"/>
            <w:vAlign w:val="bottom"/>
          </w:tcPr>
          <w:p w:rsidR="00D1499B" w:rsidRPr="00710366" w:rsidRDefault="00D1499B" w:rsidP="00676752">
            <w:pPr>
              <w:pStyle w:val="Nzev"/>
              <w:jc w:val="center"/>
            </w:pPr>
            <w:r w:rsidRPr="00710366">
              <w:t>40 a 41</w:t>
            </w:r>
          </w:p>
        </w:tc>
      </w:tr>
    </w:tbl>
    <w:p w:rsidR="00386408" w:rsidRDefault="007467A7" w:rsidP="00955CEC">
      <w:pPr>
        <w:pStyle w:val="Nadpis2"/>
      </w:pPr>
      <w:bookmarkStart w:id="12" w:name="_Toc465592560"/>
      <w:r>
        <w:t>Obecná charakteristika škols</w:t>
      </w:r>
      <w:r w:rsidR="00D60D12">
        <w:t>kých zařízení</w:t>
      </w:r>
      <w:bookmarkEnd w:id="12"/>
    </w:p>
    <w:p w:rsidR="001330C1" w:rsidRPr="001330C1" w:rsidRDefault="001330C1" w:rsidP="00955CEC">
      <w:pPr>
        <w:pStyle w:val="Bezmezer"/>
      </w:pPr>
      <w:r w:rsidRPr="001330C1">
        <w:t xml:space="preserve">Nepříznivý demografický vývoj v současnosti ovlivňuje rozsah a činnost školských zařízení všech stupňů. Školskou soustavu regionu celistvě charakterizuje </w:t>
      </w:r>
      <w:r>
        <w:t xml:space="preserve">následující </w:t>
      </w:r>
      <w:r w:rsidRPr="001330C1">
        <w:t>tabulka</w:t>
      </w:r>
      <w:r>
        <w:t xml:space="preserve">. </w:t>
      </w:r>
      <w:r w:rsidRPr="001330C1">
        <w:t xml:space="preserve">Vyšší odborné i střední školy sídlí </w:t>
      </w:r>
      <w:r>
        <w:t xml:space="preserve">pouze </w:t>
      </w:r>
      <w:r w:rsidRPr="001330C1">
        <w:t>v Kutné Hoře, což zdůr</w:t>
      </w:r>
      <w:r w:rsidR="003B76C2">
        <w:t xml:space="preserve">azňuje její výjimečné postavení </w:t>
      </w:r>
      <w:r w:rsidRPr="001330C1">
        <w:t>v rámci celého regionu</w:t>
      </w:r>
      <w:r w:rsidR="003B76C2">
        <w:t>.</w:t>
      </w:r>
    </w:p>
    <w:p w:rsidR="00386408" w:rsidRDefault="001330C1" w:rsidP="00955CEC">
      <w:pPr>
        <w:pStyle w:val="Bezmezer"/>
      </w:pPr>
      <w:r w:rsidRPr="001330C1">
        <w:t>Primární škol</w:t>
      </w:r>
      <w:r w:rsidR="004A03DF">
        <w:t>ská soustava</w:t>
      </w:r>
      <w:r w:rsidRPr="001330C1">
        <w:t xml:space="preserve"> zahrnuje </w:t>
      </w:r>
      <w:r w:rsidR="009A7547">
        <w:t>24</w:t>
      </w:r>
      <w:r w:rsidRPr="001330C1">
        <w:t xml:space="preserve"> mateřských a 19 základních škol, přičemž pět základních škol disponuje pouze prvním stupněm. Obecně se dá říci, že tato zařízení se vážou téměř výhradně na větší regionální centra, což samozřejmě není problém pouze školství. Rozložení primárních institucí, jakými jsou MŠ a ZŠ, není ideální (považujeme-li za ideál školku v každé obci), ale odpovídá výše zmíněné sídelní struktuře, která je již několik desetiletí daleka od skutečnosti udržovat v každé obci onen základní trojúhelník občanské vybavenosti, tedy hospodu, školu a prodejnu potravin. </w:t>
      </w:r>
    </w:p>
    <w:p w:rsidR="001330C1" w:rsidRDefault="001330C1" w:rsidP="00955CEC">
      <w:pPr>
        <w:pStyle w:val="Nadpis5"/>
      </w:pPr>
      <w:r>
        <w:t>Tabulka: Základní charakteristika školství v SO ORP Kutná Hora</w:t>
      </w:r>
    </w:p>
    <w:tbl>
      <w:tblPr>
        <w:tblW w:w="4919" w:type="pct"/>
        <w:tblInd w:w="53" w:type="dxa"/>
        <w:tblCellMar>
          <w:left w:w="70" w:type="dxa"/>
          <w:right w:w="70" w:type="dxa"/>
        </w:tblCellMar>
        <w:tblLook w:val="04A0"/>
      </w:tblPr>
      <w:tblGrid>
        <w:gridCol w:w="3258"/>
        <w:gridCol w:w="937"/>
        <w:gridCol w:w="2490"/>
        <w:gridCol w:w="2376"/>
      </w:tblGrid>
      <w:tr w:rsidR="001330C1" w:rsidRPr="001330C1" w:rsidTr="00560CBB">
        <w:trPr>
          <w:trHeight w:val="284"/>
        </w:trPr>
        <w:tc>
          <w:tcPr>
            <w:tcW w:w="3258" w:type="dxa"/>
            <w:tcBorders>
              <w:bottom w:val="single" w:sz="4" w:space="0" w:color="auto"/>
              <w:right w:val="single" w:sz="4" w:space="0" w:color="auto"/>
            </w:tcBorders>
            <w:shd w:val="clear" w:color="auto" w:fill="FABF8F" w:themeFill="accent6" w:themeFillTint="99"/>
            <w:vAlign w:val="bottom"/>
            <w:hideMark/>
          </w:tcPr>
          <w:p w:rsidR="001330C1" w:rsidRPr="001330C1" w:rsidRDefault="001330C1" w:rsidP="00E53ECB">
            <w:pPr>
              <w:pStyle w:val="Nzev"/>
              <w:jc w:val="left"/>
            </w:pPr>
            <w:r w:rsidRPr="001330C1">
              <w:t>Typ zařízení</w:t>
            </w:r>
          </w:p>
        </w:tc>
        <w:tc>
          <w:tcPr>
            <w:tcW w:w="937" w:type="dxa"/>
            <w:tcBorders>
              <w:left w:val="nil"/>
              <w:bottom w:val="single" w:sz="4" w:space="0" w:color="auto"/>
              <w:right w:val="single" w:sz="4" w:space="0" w:color="auto"/>
            </w:tcBorders>
            <w:shd w:val="clear" w:color="auto" w:fill="FABF8F" w:themeFill="accent6" w:themeFillTint="99"/>
            <w:vAlign w:val="bottom"/>
            <w:hideMark/>
          </w:tcPr>
          <w:p w:rsidR="001330C1" w:rsidRPr="001330C1" w:rsidRDefault="001330C1" w:rsidP="00E53ECB">
            <w:pPr>
              <w:pStyle w:val="Nzev"/>
              <w:jc w:val="center"/>
            </w:pPr>
            <w:r w:rsidRPr="001330C1">
              <w:t>Hodnota</w:t>
            </w:r>
          </w:p>
        </w:tc>
        <w:tc>
          <w:tcPr>
            <w:tcW w:w="2490" w:type="dxa"/>
            <w:tcBorders>
              <w:left w:val="nil"/>
              <w:bottom w:val="single" w:sz="4" w:space="0" w:color="auto"/>
              <w:right w:val="single" w:sz="4" w:space="0" w:color="auto"/>
            </w:tcBorders>
            <w:shd w:val="clear" w:color="auto" w:fill="FABF8F" w:themeFill="accent6" w:themeFillTint="99"/>
            <w:vAlign w:val="bottom"/>
            <w:hideMark/>
          </w:tcPr>
          <w:p w:rsidR="001330C1" w:rsidRPr="001330C1" w:rsidRDefault="001330C1" w:rsidP="00E53ECB">
            <w:pPr>
              <w:pStyle w:val="Nzev"/>
              <w:jc w:val="center"/>
            </w:pPr>
            <w:r w:rsidRPr="001330C1">
              <w:t>% z celkového počtu obcí má uvedené zařízení</w:t>
            </w:r>
          </w:p>
        </w:tc>
        <w:tc>
          <w:tcPr>
            <w:tcW w:w="2376" w:type="dxa"/>
            <w:tcBorders>
              <w:left w:val="nil"/>
              <w:bottom w:val="single" w:sz="8" w:space="0" w:color="auto"/>
            </w:tcBorders>
            <w:shd w:val="clear" w:color="auto" w:fill="FABF8F" w:themeFill="accent6" w:themeFillTint="99"/>
            <w:vAlign w:val="bottom"/>
            <w:hideMark/>
          </w:tcPr>
          <w:p w:rsidR="001330C1" w:rsidRPr="001330C1" w:rsidRDefault="001330C1" w:rsidP="00E53ECB">
            <w:pPr>
              <w:pStyle w:val="Nzev"/>
              <w:jc w:val="center"/>
            </w:pPr>
            <w:r w:rsidRPr="001330C1">
              <w:t>Komentář</w:t>
            </w:r>
          </w:p>
        </w:tc>
      </w:tr>
      <w:tr w:rsidR="001330C1" w:rsidRPr="001330C1" w:rsidTr="00560CBB">
        <w:trPr>
          <w:trHeight w:val="284"/>
        </w:trPr>
        <w:tc>
          <w:tcPr>
            <w:tcW w:w="3258" w:type="dxa"/>
            <w:tcBorders>
              <w:top w:val="single" w:sz="8" w:space="0" w:color="auto"/>
              <w:bottom w:val="single" w:sz="4" w:space="0" w:color="auto"/>
              <w:right w:val="single" w:sz="4" w:space="0" w:color="auto"/>
            </w:tcBorders>
            <w:shd w:val="clear" w:color="auto" w:fill="auto"/>
            <w:vAlign w:val="center"/>
            <w:hideMark/>
          </w:tcPr>
          <w:p w:rsidR="001330C1" w:rsidRPr="00F64246" w:rsidRDefault="001330C1" w:rsidP="00E53ECB">
            <w:pPr>
              <w:pStyle w:val="Nzev"/>
              <w:jc w:val="left"/>
            </w:pPr>
            <w:r w:rsidRPr="00F64246">
              <w:t xml:space="preserve"> Počet obcí s MŠ</w:t>
            </w:r>
          </w:p>
        </w:tc>
        <w:tc>
          <w:tcPr>
            <w:tcW w:w="937" w:type="dxa"/>
            <w:tcBorders>
              <w:top w:val="single" w:sz="8" w:space="0" w:color="auto"/>
              <w:left w:val="nil"/>
              <w:bottom w:val="single" w:sz="4" w:space="0" w:color="auto"/>
              <w:right w:val="single" w:sz="4" w:space="0" w:color="auto"/>
            </w:tcBorders>
            <w:shd w:val="clear" w:color="auto" w:fill="auto"/>
            <w:vAlign w:val="center"/>
            <w:hideMark/>
          </w:tcPr>
          <w:p w:rsidR="001330C1" w:rsidRPr="00F64246" w:rsidRDefault="001330C1" w:rsidP="00E53ECB">
            <w:pPr>
              <w:pStyle w:val="Nzev"/>
              <w:jc w:val="center"/>
            </w:pPr>
            <w:r w:rsidRPr="00F64246">
              <w:t>2</w:t>
            </w:r>
            <w:r w:rsidR="004A03DF" w:rsidRPr="00F64246">
              <w:t>4</w:t>
            </w:r>
          </w:p>
        </w:tc>
        <w:tc>
          <w:tcPr>
            <w:tcW w:w="2490" w:type="dxa"/>
            <w:tcBorders>
              <w:top w:val="single" w:sz="8" w:space="0" w:color="auto"/>
              <w:left w:val="nil"/>
              <w:bottom w:val="single" w:sz="4" w:space="0" w:color="auto"/>
              <w:right w:val="single" w:sz="4" w:space="0" w:color="auto"/>
            </w:tcBorders>
            <w:shd w:val="clear" w:color="auto" w:fill="auto"/>
            <w:vAlign w:val="center"/>
            <w:hideMark/>
          </w:tcPr>
          <w:p w:rsidR="001330C1" w:rsidRPr="00F64246" w:rsidRDefault="004A03DF" w:rsidP="00E53ECB">
            <w:pPr>
              <w:pStyle w:val="Nzev"/>
              <w:jc w:val="center"/>
            </w:pPr>
            <w:r w:rsidRPr="00F64246">
              <w:t>39</w:t>
            </w:r>
          </w:p>
        </w:tc>
        <w:tc>
          <w:tcPr>
            <w:tcW w:w="2376" w:type="dxa"/>
            <w:tcBorders>
              <w:top w:val="single" w:sz="8" w:space="0" w:color="auto"/>
              <w:left w:val="nil"/>
              <w:bottom w:val="single" w:sz="8" w:space="0" w:color="auto"/>
            </w:tcBorders>
            <w:shd w:val="clear" w:color="auto" w:fill="auto"/>
            <w:vAlign w:val="center"/>
            <w:hideMark/>
          </w:tcPr>
          <w:p w:rsidR="001330C1" w:rsidRPr="001330C1" w:rsidRDefault="001330C1" w:rsidP="00E53ECB">
            <w:pPr>
              <w:pStyle w:val="Nzev"/>
              <w:jc w:val="center"/>
            </w:pPr>
            <w:r w:rsidRPr="001330C1">
              <w:t>1 církevní, 1 soukromá</w:t>
            </w:r>
          </w:p>
        </w:tc>
      </w:tr>
      <w:tr w:rsidR="001330C1" w:rsidRPr="001330C1" w:rsidTr="00560CBB">
        <w:trPr>
          <w:trHeight w:val="284"/>
        </w:trPr>
        <w:tc>
          <w:tcPr>
            <w:tcW w:w="3258" w:type="dxa"/>
            <w:tcBorders>
              <w:top w:val="nil"/>
              <w:bottom w:val="single" w:sz="4" w:space="0" w:color="auto"/>
              <w:right w:val="single" w:sz="4" w:space="0" w:color="auto"/>
            </w:tcBorders>
            <w:shd w:val="clear" w:color="auto" w:fill="auto"/>
            <w:vAlign w:val="center"/>
            <w:hideMark/>
          </w:tcPr>
          <w:p w:rsidR="001330C1" w:rsidRPr="00F64246" w:rsidRDefault="001330C1" w:rsidP="00E53ECB">
            <w:pPr>
              <w:pStyle w:val="Nzev"/>
              <w:jc w:val="left"/>
            </w:pPr>
            <w:r w:rsidRPr="00F64246">
              <w:t>Počet obcí se ZŠ jen 1 stupeň</w:t>
            </w:r>
          </w:p>
        </w:tc>
        <w:tc>
          <w:tcPr>
            <w:tcW w:w="937" w:type="dxa"/>
            <w:tcBorders>
              <w:top w:val="nil"/>
              <w:left w:val="nil"/>
              <w:bottom w:val="single" w:sz="4" w:space="0" w:color="auto"/>
              <w:right w:val="single" w:sz="4" w:space="0" w:color="auto"/>
            </w:tcBorders>
            <w:shd w:val="clear" w:color="auto" w:fill="auto"/>
            <w:vAlign w:val="center"/>
            <w:hideMark/>
          </w:tcPr>
          <w:p w:rsidR="001330C1" w:rsidRPr="00F64246" w:rsidRDefault="001330C1" w:rsidP="00E53ECB">
            <w:pPr>
              <w:pStyle w:val="Nzev"/>
              <w:jc w:val="center"/>
            </w:pPr>
            <w:r w:rsidRPr="00F64246">
              <w:t>5</w:t>
            </w:r>
          </w:p>
        </w:tc>
        <w:tc>
          <w:tcPr>
            <w:tcW w:w="2490" w:type="dxa"/>
            <w:tcBorders>
              <w:top w:val="nil"/>
              <w:left w:val="nil"/>
              <w:bottom w:val="single" w:sz="4" w:space="0" w:color="auto"/>
              <w:right w:val="single" w:sz="4" w:space="0" w:color="auto"/>
            </w:tcBorders>
            <w:shd w:val="clear" w:color="auto" w:fill="auto"/>
            <w:vAlign w:val="center"/>
            <w:hideMark/>
          </w:tcPr>
          <w:p w:rsidR="001330C1" w:rsidRPr="00F64246" w:rsidRDefault="004A03DF" w:rsidP="00E53ECB">
            <w:pPr>
              <w:pStyle w:val="Nzev"/>
              <w:jc w:val="center"/>
            </w:pPr>
            <w:r w:rsidRPr="00F64246">
              <w:t>9</w:t>
            </w:r>
          </w:p>
        </w:tc>
        <w:tc>
          <w:tcPr>
            <w:tcW w:w="2376" w:type="dxa"/>
            <w:tcBorders>
              <w:top w:val="single" w:sz="8" w:space="0" w:color="auto"/>
              <w:left w:val="nil"/>
              <w:bottom w:val="single" w:sz="8" w:space="0" w:color="auto"/>
            </w:tcBorders>
            <w:shd w:val="clear" w:color="auto" w:fill="auto"/>
            <w:vAlign w:val="center"/>
            <w:hideMark/>
          </w:tcPr>
          <w:p w:rsidR="001330C1" w:rsidRPr="001330C1" w:rsidRDefault="001330C1" w:rsidP="00E53ECB">
            <w:pPr>
              <w:pStyle w:val="Nzev"/>
              <w:jc w:val="center"/>
            </w:pPr>
          </w:p>
        </w:tc>
      </w:tr>
      <w:tr w:rsidR="001330C1" w:rsidRPr="001330C1" w:rsidTr="00560CBB">
        <w:trPr>
          <w:trHeight w:val="284"/>
        </w:trPr>
        <w:tc>
          <w:tcPr>
            <w:tcW w:w="3258" w:type="dxa"/>
            <w:tcBorders>
              <w:top w:val="nil"/>
              <w:bottom w:val="single" w:sz="4" w:space="0" w:color="auto"/>
              <w:right w:val="single" w:sz="4" w:space="0" w:color="auto"/>
            </w:tcBorders>
            <w:shd w:val="clear" w:color="auto" w:fill="auto"/>
            <w:vAlign w:val="center"/>
            <w:hideMark/>
          </w:tcPr>
          <w:p w:rsidR="001330C1" w:rsidRPr="00F64246" w:rsidRDefault="001330C1" w:rsidP="00E53ECB">
            <w:pPr>
              <w:pStyle w:val="Nzev"/>
              <w:jc w:val="left"/>
            </w:pPr>
            <w:r w:rsidRPr="00F64246">
              <w:t>Počet obcí se ZŠ 1 i 2 stupeň</w:t>
            </w:r>
          </w:p>
        </w:tc>
        <w:tc>
          <w:tcPr>
            <w:tcW w:w="937" w:type="dxa"/>
            <w:tcBorders>
              <w:top w:val="nil"/>
              <w:left w:val="nil"/>
              <w:bottom w:val="single" w:sz="4" w:space="0" w:color="auto"/>
              <w:right w:val="single" w:sz="4" w:space="0" w:color="auto"/>
            </w:tcBorders>
            <w:shd w:val="clear" w:color="auto" w:fill="auto"/>
            <w:vAlign w:val="center"/>
            <w:hideMark/>
          </w:tcPr>
          <w:p w:rsidR="001330C1" w:rsidRPr="00F64246" w:rsidRDefault="001330C1" w:rsidP="00E53ECB">
            <w:pPr>
              <w:pStyle w:val="Nzev"/>
              <w:jc w:val="center"/>
            </w:pPr>
            <w:r w:rsidRPr="00F64246">
              <w:t>14</w:t>
            </w:r>
          </w:p>
        </w:tc>
        <w:tc>
          <w:tcPr>
            <w:tcW w:w="2490" w:type="dxa"/>
            <w:tcBorders>
              <w:top w:val="nil"/>
              <w:left w:val="nil"/>
              <w:bottom w:val="single" w:sz="4" w:space="0" w:color="auto"/>
              <w:right w:val="single" w:sz="4" w:space="0" w:color="auto"/>
            </w:tcBorders>
            <w:shd w:val="clear" w:color="auto" w:fill="auto"/>
            <w:vAlign w:val="center"/>
            <w:hideMark/>
          </w:tcPr>
          <w:p w:rsidR="001330C1" w:rsidRPr="00F64246" w:rsidRDefault="004A03DF" w:rsidP="00E53ECB">
            <w:pPr>
              <w:pStyle w:val="Nzev"/>
              <w:jc w:val="center"/>
            </w:pPr>
            <w:r w:rsidRPr="00F64246">
              <w:t>27</w:t>
            </w:r>
          </w:p>
        </w:tc>
        <w:tc>
          <w:tcPr>
            <w:tcW w:w="2376" w:type="dxa"/>
            <w:tcBorders>
              <w:top w:val="single" w:sz="8" w:space="0" w:color="auto"/>
              <w:left w:val="nil"/>
              <w:bottom w:val="single" w:sz="4" w:space="0" w:color="auto"/>
            </w:tcBorders>
            <w:shd w:val="clear" w:color="auto" w:fill="auto"/>
            <w:vAlign w:val="center"/>
            <w:hideMark/>
          </w:tcPr>
          <w:p w:rsidR="001330C1" w:rsidRPr="001330C1" w:rsidRDefault="001330C1" w:rsidP="00E53ECB">
            <w:pPr>
              <w:pStyle w:val="Nzev"/>
              <w:jc w:val="center"/>
            </w:pPr>
          </w:p>
        </w:tc>
      </w:tr>
      <w:tr w:rsidR="001330C1" w:rsidRPr="001330C1" w:rsidTr="00560CBB">
        <w:trPr>
          <w:trHeight w:val="284"/>
        </w:trPr>
        <w:tc>
          <w:tcPr>
            <w:tcW w:w="3258" w:type="dxa"/>
            <w:tcBorders>
              <w:top w:val="nil"/>
              <w:bottom w:val="single" w:sz="4" w:space="0" w:color="auto"/>
              <w:right w:val="single" w:sz="4" w:space="0" w:color="auto"/>
            </w:tcBorders>
            <w:shd w:val="clear" w:color="auto" w:fill="auto"/>
            <w:vAlign w:val="center"/>
            <w:hideMark/>
          </w:tcPr>
          <w:p w:rsidR="001330C1" w:rsidRPr="001330C1" w:rsidRDefault="001330C1" w:rsidP="00E53ECB">
            <w:pPr>
              <w:pStyle w:val="Nzev"/>
              <w:jc w:val="left"/>
            </w:pPr>
            <w:r w:rsidRPr="001330C1">
              <w:t>Počet středních škol:</w:t>
            </w:r>
          </w:p>
        </w:tc>
        <w:tc>
          <w:tcPr>
            <w:tcW w:w="937" w:type="dxa"/>
            <w:tcBorders>
              <w:top w:val="nil"/>
              <w:left w:val="nil"/>
              <w:bottom w:val="single" w:sz="4" w:space="0" w:color="auto"/>
              <w:right w:val="single" w:sz="4" w:space="0" w:color="auto"/>
            </w:tcBorders>
            <w:shd w:val="clear" w:color="auto" w:fill="auto"/>
            <w:vAlign w:val="center"/>
            <w:hideMark/>
          </w:tcPr>
          <w:p w:rsidR="001330C1" w:rsidRPr="001330C1" w:rsidRDefault="001330C1" w:rsidP="00E53ECB">
            <w:pPr>
              <w:pStyle w:val="Nzev"/>
              <w:jc w:val="center"/>
            </w:pPr>
            <w:r w:rsidRPr="001330C1">
              <w:t>6</w:t>
            </w:r>
          </w:p>
        </w:tc>
        <w:tc>
          <w:tcPr>
            <w:tcW w:w="2490" w:type="dxa"/>
            <w:tcBorders>
              <w:top w:val="nil"/>
              <w:left w:val="nil"/>
              <w:bottom w:val="single" w:sz="4" w:space="0" w:color="auto"/>
              <w:right w:val="single" w:sz="4" w:space="0" w:color="auto"/>
            </w:tcBorders>
            <w:shd w:val="clear" w:color="auto" w:fill="auto"/>
            <w:vAlign w:val="center"/>
            <w:hideMark/>
          </w:tcPr>
          <w:p w:rsidR="001330C1" w:rsidRPr="001330C1" w:rsidRDefault="004A03DF" w:rsidP="00E53ECB">
            <w:pPr>
              <w:pStyle w:val="Nzev"/>
              <w:jc w:val="center"/>
            </w:pPr>
            <w:r>
              <w:t>2</w:t>
            </w:r>
          </w:p>
        </w:tc>
        <w:tc>
          <w:tcPr>
            <w:tcW w:w="2376" w:type="dxa"/>
            <w:vMerge w:val="restart"/>
            <w:tcBorders>
              <w:top w:val="single" w:sz="4" w:space="0" w:color="auto"/>
              <w:left w:val="nil"/>
            </w:tcBorders>
            <w:shd w:val="clear" w:color="auto" w:fill="auto"/>
            <w:vAlign w:val="center"/>
            <w:hideMark/>
          </w:tcPr>
          <w:p w:rsidR="001330C1" w:rsidRPr="001330C1" w:rsidRDefault="001330C1" w:rsidP="00E53ECB">
            <w:pPr>
              <w:pStyle w:val="Nzev"/>
              <w:jc w:val="center"/>
            </w:pPr>
            <w:r w:rsidRPr="001330C1">
              <w:t>Kutná Hora</w:t>
            </w:r>
          </w:p>
        </w:tc>
      </w:tr>
      <w:tr w:rsidR="001330C1" w:rsidRPr="001330C1" w:rsidTr="00560CBB">
        <w:trPr>
          <w:trHeight w:val="284"/>
        </w:trPr>
        <w:tc>
          <w:tcPr>
            <w:tcW w:w="3258" w:type="dxa"/>
            <w:tcBorders>
              <w:top w:val="nil"/>
              <w:bottom w:val="single" w:sz="4" w:space="0" w:color="auto"/>
              <w:right w:val="single" w:sz="4" w:space="0" w:color="auto"/>
            </w:tcBorders>
            <w:shd w:val="clear" w:color="auto" w:fill="auto"/>
            <w:vAlign w:val="center"/>
            <w:hideMark/>
          </w:tcPr>
          <w:p w:rsidR="001330C1" w:rsidRPr="001330C1" w:rsidRDefault="001330C1" w:rsidP="00E53ECB">
            <w:pPr>
              <w:pStyle w:val="Nzev"/>
              <w:jc w:val="left"/>
            </w:pPr>
            <w:r w:rsidRPr="001330C1">
              <w:t>-obory gymnázií</w:t>
            </w:r>
          </w:p>
        </w:tc>
        <w:tc>
          <w:tcPr>
            <w:tcW w:w="937" w:type="dxa"/>
            <w:tcBorders>
              <w:top w:val="nil"/>
              <w:left w:val="nil"/>
              <w:bottom w:val="single" w:sz="4" w:space="0" w:color="auto"/>
              <w:right w:val="single" w:sz="4" w:space="0" w:color="auto"/>
            </w:tcBorders>
            <w:shd w:val="clear" w:color="auto" w:fill="auto"/>
            <w:vAlign w:val="center"/>
            <w:hideMark/>
          </w:tcPr>
          <w:p w:rsidR="001330C1" w:rsidRPr="001330C1" w:rsidRDefault="001330C1" w:rsidP="00E53ECB">
            <w:pPr>
              <w:pStyle w:val="Nzev"/>
              <w:jc w:val="center"/>
            </w:pPr>
            <w:r w:rsidRPr="001330C1">
              <w:t>2</w:t>
            </w:r>
          </w:p>
        </w:tc>
        <w:tc>
          <w:tcPr>
            <w:tcW w:w="2490" w:type="dxa"/>
            <w:tcBorders>
              <w:top w:val="nil"/>
              <w:left w:val="nil"/>
              <w:bottom w:val="single" w:sz="4" w:space="0" w:color="auto"/>
              <w:right w:val="single" w:sz="4" w:space="0" w:color="auto"/>
            </w:tcBorders>
            <w:shd w:val="clear" w:color="auto" w:fill="auto"/>
            <w:vAlign w:val="center"/>
            <w:hideMark/>
          </w:tcPr>
          <w:p w:rsidR="001330C1" w:rsidRPr="001330C1" w:rsidRDefault="004A03DF" w:rsidP="00E53ECB">
            <w:pPr>
              <w:pStyle w:val="Nzev"/>
              <w:jc w:val="center"/>
            </w:pPr>
            <w:r>
              <w:t>2</w:t>
            </w:r>
          </w:p>
        </w:tc>
        <w:tc>
          <w:tcPr>
            <w:tcW w:w="2376" w:type="dxa"/>
            <w:vMerge/>
            <w:tcBorders>
              <w:left w:val="nil"/>
            </w:tcBorders>
            <w:shd w:val="clear" w:color="auto" w:fill="auto"/>
            <w:vAlign w:val="center"/>
            <w:hideMark/>
          </w:tcPr>
          <w:p w:rsidR="001330C1" w:rsidRPr="001330C1" w:rsidRDefault="001330C1" w:rsidP="00E53ECB">
            <w:pPr>
              <w:pStyle w:val="Nzev"/>
              <w:jc w:val="center"/>
            </w:pPr>
          </w:p>
        </w:tc>
      </w:tr>
      <w:tr w:rsidR="001330C1" w:rsidRPr="001330C1" w:rsidTr="00560CBB">
        <w:trPr>
          <w:trHeight w:val="284"/>
        </w:trPr>
        <w:tc>
          <w:tcPr>
            <w:tcW w:w="3258" w:type="dxa"/>
            <w:tcBorders>
              <w:top w:val="nil"/>
              <w:bottom w:val="single" w:sz="4" w:space="0" w:color="auto"/>
              <w:right w:val="single" w:sz="4" w:space="0" w:color="auto"/>
            </w:tcBorders>
            <w:shd w:val="clear" w:color="auto" w:fill="auto"/>
            <w:vAlign w:val="center"/>
            <w:hideMark/>
          </w:tcPr>
          <w:p w:rsidR="001330C1" w:rsidRPr="001330C1" w:rsidRDefault="001330C1" w:rsidP="00E53ECB">
            <w:pPr>
              <w:pStyle w:val="Nzev"/>
              <w:jc w:val="left"/>
            </w:pPr>
            <w:r w:rsidRPr="001330C1">
              <w:t>-obory středních odborných škol a praktických škol</w:t>
            </w:r>
          </w:p>
        </w:tc>
        <w:tc>
          <w:tcPr>
            <w:tcW w:w="937" w:type="dxa"/>
            <w:tcBorders>
              <w:top w:val="nil"/>
              <w:left w:val="nil"/>
              <w:bottom w:val="single" w:sz="4" w:space="0" w:color="auto"/>
              <w:right w:val="single" w:sz="4" w:space="0" w:color="auto"/>
            </w:tcBorders>
            <w:shd w:val="clear" w:color="auto" w:fill="auto"/>
            <w:vAlign w:val="center"/>
            <w:hideMark/>
          </w:tcPr>
          <w:p w:rsidR="001330C1" w:rsidRPr="001330C1" w:rsidRDefault="001330C1" w:rsidP="00E53ECB">
            <w:pPr>
              <w:pStyle w:val="Nzev"/>
              <w:jc w:val="center"/>
            </w:pPr>
            <w:r w:rsidRPr="001330C1">
              <w:t>3</w:t>
            </w:r>
          </w:p>
        </w:tc>
        <w:tc>
          <w:tcPr>
            <w:tcW w:w="2490" w:type="dxa"/>
            <w:tcBorders>
              <w:top w:val="nil"/>
              <w:left w:val="nil"/>
              <w:bottom w:val="single" w:sz="4" w:space="0" w:color="auto"/>
              <w:right w:val="single" w:sz="4" w:space="0" w:color="auto"/>
            </w:tcBorders>
            <w:shd w:val="clear" w:color="auto" w:fill="auto"/>
            <w:vAlign w:val="center"/>
            <w:hideMark/>
          </w:tcPr>
          <w:p w:rsidR="001330C1" w:rsidRPr="001330C1" w:rsidRDefault="004A03DF" w:rsidP="00E53ECB">
            <w:pPr>
              <w:pStyle w:val="Nzev"/>
              <w:jc w:val="center"/>
            </w:pPr>
            <w:r>
              <w:t>2</w:t>
            </w:r>
          </w:p>
        </w:tc>
        <w:tc>
          <w:tcPr>
            <w:tcW w:w="2376" w:type="dxa"/>
            <w:vMerge/>
            <w:tcBorders>
              <w:left w:val="nil"/>
            </w:tcBorders>
            <w:shd w:val="clear" w:color="auto" w:fill="auto"/>
            <w:vAlign w:val="center"/>
            <w:hideMark/>
          </w:tcPr>
          <w:p w:rsidR="001330C1" w:rsidRPr="001330C1" w:rsidRDefault="001330C1" w:rsidP="00E53ECB">
            <w:pPr>
              <w:pStyle w:val="Nzev"/>
              <w:jc w:val="center"/>
            </w:pPr>
          </w:p>
        </w:tc>
      </w:tr>
      <w:tr w:rsidR="001330C1" w:rsidRPr="001330C1" w:rsidTr="00560CBB">
        <w:trPr>
          <w:trHeight w:val="284"/>
        </w:trPr>
        <w:tc>
          <w:tcPr>
            <w:tcW w:w="3258" w:type="dxa"/>
            <w:tcBorders>
              <w:top w:val="nil"/>
              <w:bottom w:val="nil"/>
              <w:right w:val="single" w:sz="4" w:space="0" w:color="auto"/>
            </w:tcBorders>
            <w:shd w:val="clear" w:color="auto" w:fill="auto"/>
            <w:vAlign w:val="center"/>
            <w:hideMark/>
          </w:tcPr>
          <w:p w:rsidR="001330C1" w:rsidRPr="001330C1" w:rsidRDefault="001330C1" w:rsidP="00E53ECB">
            <w:pPr>
              <w:pStyle w:val="Nzev"/>
              <w:jc w:val="left"/>
            </w:pPr>
            <w:r w:rsidRPr="001330C1">
              <w:t>-obory středních odborných učilišť a odborných učilišť</w:t>
            </w:r>
          </w:p>
        </w:tc>
        <w:tc>
          <w:tcPr>
            <w:tcW w:w="937" w:type="dxa"/>
            <w:tcBorders>
              <w:top w:val="nil"/>
              <w:left w:val="nil"/>
              <w:bottom w:val="nil"/>
              <w:right w:val="single" w:sz="4" w:space="0" w:color="auto"/>
            </w:tcBorders>
            <w:shd w:val="clear" w:color="auto" w:fill="auto"/>
            <w:vAlign w:val="center"/>
            <w:hideMark/>
          </w:tcPr>
          <w:p w:rsidR="001330C1" w:rsidRPr="001330C1" w:rsidRDefault="001330C1" w:rsidP="00E53ECB">
            <w:pPr>
              <w:pStyle w:val="Nzev"/>
              <w:jc w:val="center"/>
            </w:pPr>
            <w:r w:rsidRPr="001330C1">
              <w:t>1</w:t>
            </w:r>
          </w:p>
        </w:tc>
        <w:tc>
          <w:tcPr>
            <w:tcW w:w="2490" w:type="dxa"/>
            <w:tcBorders>
              <w:top w:val="nil"/>
              <w:left w:val="nil"/>
              <w:bottom w:val="single" w:sz="4" w:space="0" w:color="auto"/>
              <w:right w:val="single" w:sz="4" w:space="0" w:color="auto"/>
            </w:tcBorders>
            <w:shd w:val="clear" w:color="auto" w:fill="auto"/>
            <w:vAlign w:val="center"/>
            <w:hideMark/>
          </w:tcPr>
          <w:p w:rsidR="001330C1" w:rsidRPr="001330C1" w:rsidRDefault="004A03DF" w:rsidP="00E53ECB">
            <w:pPr>
              <w:pStyle w:val="Nzev"/>
              <w:jc w:val="center"/>
            </w:pPr>
            <w:r>
              <w:t>2</w:t>
            </w:r>
          </w:p>
        </w:tc>
        <w:tc>
          <w:tcPr>
            <w:tcW w:w="2376" w:type="dxa"/>
            <w:vMerge/>
            <w:tcBorders>
              <w:left w:val="nil"/>
              <w:bottom w:val="single" w:sz="4" w:space="0" w:color="auto"/>
            </w:tcBorders>
            <w:shd w:val="clear" w:color="auto" w:fill="auto"/>
            <w:vAlign w:val="center"/>
            <w:hideMark/>
          </w:tcPr>
          <w:p w:rsidR="001330C1" w:rsidRPr="001330C1" w:rsidRDefault="001330C1" w:rsidP="00E53ECB">
            <w:pPr>
              <w:pStyle w:val="Nzev"/>
              <w:jc w:val="center"/>
            </w:pPr>
          </w:p>
        </w:tc>
      </w:tr>
      <w:tr w:rsidR="001330C1" w:rsidRPr="001330C1" w:rsidTr="00560CBB">
        <w:trPr>
          <w:trHeight w:val="284"/>
        </w:trPr>
        <w:tc>
          <w:tcPr>
            <w:tcW w:w="3258" w:type="dxa"/>
            <w:tcBorders>
              <w:top w:val="single" w:sz="4" w:space="0" w:color="auto"/>
              <w:right w:val="single" w:sz="4" w:space="0" w:color="auto"/>
            </w:tcBorders>
            <w:shd w:val="clear" w:color="auto" w:fill="auto"/>
            <w:vAlign w:val="center"/>
            <w:hideMark/>
          </w:tcPr>
          <w:p w:rsidR="001330C1" w:rsidRPr="001330C1" w:rsidRDefault="001330C1" w:rsidP="00E53ECB">
            <w:pPr>
              <w:pStyle w:val="Nzev"/>
              <w:jc w:val="left"/>
            </w:pPr>
            <w:r w:rsidRPr="001330C1">
              <w:t>Počet základních uměleckých škol</w:t>
            </w:r>
          </w:p>
        </w:tc>
        <w:tc>
          <w:tcPr>
            <w:tcW w:w="937" w:type="dxa"/>
            <w:tcBorders>
              <w:top w:val="single" w:sz="4" w:space="0" w:color="auto"/>
              <w:left w:val="nil"/>
              <w:right w:val="single" w:sz="4" w:space="0" w:color="auto"/>
            </w:tcBorders>
            <w:shd w:val="clear" w:color="auto" w:fill="auto"/>
            <w:vAlign w:val="center"/>
            <w:hideMark/>
          </w:tcPr>
          <w:p w:rsidR="001330C1" w:rsidRPr="001330C1" w:rsidRDefault="001330C1" w:rsidP="00E53ECB">
            <w:pPr>
              <w:pStyle w:val="Nzev"/>
              <w:jc w:val="center"/>
            </w:pPr>
            <w:r w:rsidRPr="001330C1">
              <w:t>3</w:t>
            </w:r>
          </w:p>
        </w:tc>
        <w:tc>
          <w:tcPr>
            <w:tcW w:w="2490" w:type="dxa"/>
            <w:tcBorders>
              <w:top w:val="nil"/>
              <w:left w:val="nil"/>
              <w:right w:val="single" w:sz="4" w:space="0" w:color="auto"/>
            </w:tcBorders>
            <w:shd w:val="clear" w:color="auto" w:fill="auto"/>
            <w:vAlign w:val="center"/>
            <w:hideMark/>
          </w:tcPr>
          <w:p w:rsidR="001330C1" w:rsidRPr="001330C1" w:rsidRDefault="004A03DF" w:rsidP="00E53ECB">
            <w:pPr>
              <w:pStyle w:val="Nzev"/>
              <w:jc w:val="center"/>
            </w:pPr>
            <w:r>
              <w:t>6</w:t>
            </w:r>
          </w:p>
        </w:tc>
        <w:tc>
          <w:tcPr>
            <w:tcW w:w="2376" w:type="dxa"/>
            <w:tcBorders>
              <w:top w:val="single" w:sz="4" w:space="0" w:color="auto"/>
              <w:left w:val="nil"/>
            </w:tcBorders>
            <w:shd w:val="clear" w:color="auto" w:fill="auto"/>
            <w:vAlign w:val="center"/>
            <w:hideMark/>
          </w:tcPr>
          <w:p w:rsidR="001330C1" w:rsidRPr="001330C1" w:rsidRDefault="001330C1" w:rsidP="00E53ECB">
            <w:pPr>
              <w:pStyle w:val="Nzev"/>
              <w:jc w:val="center"/>
            </w:pPr>
            <w:r w:rsidRPr="001330C1">
              <w:t>Kutná Hora, Zruč n. S. Uhlířské Janovice</w:t>
            </w:r>
          </w:p>
        </w:tc>
      </w:tr>
    </w:tbl>
    <w:p w:rsidR="000E5133" w:rsidRDefault="000E5133">
      <w:pPr>
        <w:spacing w:before="0" w:after="200" w:line="276" w:lineRule="auto"/>
        <w:jc w:val="left"/>
        <w:rPr>
          <w:rFonts w:eastAsiaTheme="majorEastAsia" w:cstheme="majorBidi"/>
          <w:b/>
          <w:bCs/>
          <w:caps w:val="0"/>
          <w:sz w:val="32"/>
          <w:szCs w:val="28"/>
        </w:rPr>
      </w:pPr>
      <w:r>
        <w:br w:type="page"/>
      </w:r>
    </w:p>
    <w:p w:rsidR="00942FE6" w:rsidRDefault="00B2289A" w:rsidP="00955CEC">
      <w:pPr>
        <w:pStyle w:val="Nadpis1"/>
      </w:pPr>
      <w:bookmarkStart w:id="13" w:name="_Toc465592561"/>
      <w:r>
        <w:lastRenderedPageBreak/>
        <w:t>Anal</w:t>
      </w:r>
      <w:r w:rsidR="00FD6AEA">
        <w:t>ytická část</w:t>
      </w:r>
      <w:bookmarkEnd w:id="13"/>
    </w:p>
    <w:p w:rsidR="00942FE6" w:rsidRDefault="00615115" w:rsidP="00955CEC">
      <w:pPr>
        <w:pStyle w:val="Bezmezer"/>
      </w:pPr>
      <w:r w:rsidRPr="003A0590">
        <w:rPr>
          <w:szCs w:val="28"/>
        </w:rPr>
        <w:t>Analy</w:t>
      </w:r>
      <w:r w:rsidRPr="003A0590">
        <w:t>tická část slouží jako podklad pro všechny následující kroky při realizaci MAP</w:t>
      </w:r>
      <w:r w:rsidR="003A0590" w:rsidRPr="003A0590">
        <w:t>.</w:t>
      </w:r>
      <w:r w:rsidRPr="003A0590">
        <w:t xml:space="preserve"> Na kvalitě jejího zpracování tedy </w:t>
      </w:r>
      <w:r w:rsidR="003A0590" w:rsidRPr="003A0590">
        <w:t xml:space="preserve">do velké míry </w:t>
      </w:r>
      <w:r w:rsidRPr="003A0590">
        <w:t>záleží</w:t>
      </w:r>
      <w:r w:rsidR="003A0590" w:rsidRPr="003A0590">
        <w:t xml:space="preserve"> </w:t>
      </w:r>
      <w:r w:rsidR="003A0590" w:rsidRPr="00F64246">
        <w:t>kvalita celého dokumentu</w:t>
      </w:r>
      <w:r w:rsidR="00DA61D6" w:rsidRPr="00F64246">
        <w:t xml:space="preserve">. </w:t>
      </w:r>
      <w:r w:rsidR="00203066" w:rsidRPr="00F64246">
        <w:t xml:space="preserve">Součástí této kapitoly je </w:t>
      </w:r>
      <w:r w:rsidR="00FF3A98">
        <w:t>rozbor</w:t>
      </w:r>
      <w:r w:rsidR="00BD1EF4" w:rsidRPr="00F64246">
        <w:t xml:space="preserve"> výsledků dotazníkového šetření na MŠ a ZŠ (tak jak je obdrželi od MŠMT)</w:t>
      </w:r>
      <w:r w:rsidR="00BD1EF4">
        <w:t xml:space="preserve">, </w:t>
      </w:r>
      <w:r w:rsidR="000C4923">
        <w:t xml:space="preserve">přehledné </w:t>
      </w:r>
      <w:r w:rsidR="00FF3A98">
        <w:t>shrnutí nejčastějších potřeb a plánů</w:t>
      </w:r>
      <w:r w:rsidR="000C4923">
        <w:t xml:space="preserve"> jak v případě MŠ, tak v případě ZŠ, vymezení problémových oblastí a klíčových problémů (včetně analýzy SWOT) i </w:t>
      </w:r>
      <w:r w:rsidR="00203066" w:rsidRPr="00F64246">
        <w:t>rešerše dostupných relevantních dokumentů tak, aby veškeré podstatné informace týkající se tématu školství na Kutnohorsku byly takříkajíc „pod jednou střechou“.</w:t>
      </w:r>
    </w:p>
    <w:p w:rsidR="00B2289A" w:rsidRPr="00D9359D" w:rsidRDefault="00DD3C7E" w:rsidP="00955CEC">
      <w:pPr>
        <w:pStyle w:val="Nadpis2"/>
      </w:pPr>
      <w:bookmarkStart w:id="14" w:name="_Toc465592562"/>
      <w:r>
        <w:t>Vyhodnocení dotazníkového šetření</w:t>
      </w:r>
      <w:bookmarkEnd w:id="14"/>
    </w:p>
    <w:p w:rsidR="00B2289A" w:rsidRDefault="00E66EA6" w:rsidP="00A3463A">
      <w:pPr>
        <w:pStyle w:val="Bezmezer"/>
      </w:pPr>
      <w:r>
        <w:t>Dotazníkového šetření se v SO ORP Kutná Hora zúčastnilo celkem 19 ředitelství/ právnických osob vykonávajících činnost ZŠ a 18 ředitelství/ právnických osob vykonávajících činnost MŠ</w:t>
      </w:r>
      <w:r w:rsidR="00B065C8">
        <w:t>.</w:t>
      </w:r>
      <w:r w:rsidR="004B1B6C">
        <w:t xml:space="preserve"> V případě ZŠ se jedná o 100 % všech ZŠ v SO ORP</w:t>
      </w:r>
      <w:r w:rsidR="004D3DD1">
        <w:t xml:space="preserve"> (v rámci </w:t>
      </w:r>
      <w:r w:rsidR="005E4E3B">
        <w:t xml:space="preserve">Středočeského </w:t>
      </w:r>
      <w:r w:rsidR="004D3DD1">
        <w:t>kraje</w:t>
      </w:r>
      <w:r w:rsidR="005E4E3B">
        <w:t xml:space="preserve"> (dále jen kraj) vyplnilo dotazník 95 % ZŠ,</w:t>
      </w:r>
      <w:r w:rsidR="004D3DD1">
        <w:t xml:space="preserve"> </w:t>
      </w:r>
      <w:r w:rsidR="005E4E3B">
        <w:t xml:space="preserve">v rámci </w:t>
      </w:r>
      <w:r w:rsidR="004D3DD1">
        <w:t>ČR</w:t>
      </w:r>
      <w:r w:rsidR="005E4E3B">
        <w:t xml:space="preserve"> necelých 96 % ZŠ</w:t>
      </w:r>
      <w:r w:rsidR="004D3DD1">
        <w:t>)</w:t>
      </w:r>
      <w:r w:rsidR="005E4E3B">
        <w:t>. V</w:t>
      </w:r>
      <w:r w:rsidR="004B1B6C">
        <w:t> případě MŠ jde o 75 %</w:t>
      </w:r>
      <w:r w:rsidR="00BC4BF7">
        <w:t xml:space="preserve"> všech M</w:t>
      </w:r>
      <w:r w:rsidR="009D34FA">
        <w:t>Š v SO ORP</w:t>
      </w:r>
      <w:r w:rsidR="004B1B6C">
        <w:t xml:space="preserve"> (6 MŠ dotazník nevyplnilo).</w:t>
      </w:r>
      <w:r w:rsidR="00E43BFF">
        <w:t xml:space="preserve"> </w:t>
      </w:r>
      <w:r w:rsidR="005E4E3B">
        <w:t xml:space="preserve">V rámci kraje vyplnilo dotazník necelých 83 % MŠ, v rámci ČR potom necelých 89 % MŠ. </w:t>
      </w:r>
      <w:r w:rsidR="00E43BFF" w:rsidRPr="002D0559">
        <w:t>Podrobnější rozbory jsou rozpracovány ve dvou následujících podkapitolách.</w:t>
      </w:r>
      <w:r w:rsidR="00EA6A1F" w:rsidRPr="002D0559">
        <w:t xml:space="preserve"> </w:t>
      </w:r>
    </w:p>
    <w:p w:rsidR="00E5278B" w:rsidRPr="00E6133C" w:rsidRDefault="00E5278B" w:rsidP="00955CEC">
      <w:pPr>
        <w:pStyle w:val="Nadpis3"/>
      </w:pPr>
      <w:bookmarkStart w:id="15" w:name="_Toc465592563"/>
      <w:r w:rsidRPr="00E6133C">
        <w:t>Mateřské školy</w:t>
      </w:r>
      <w:bookmarkEnd w:id="15"/>
    </w:p>
    <w:p w:rsidR="002D0559" w:rsidRPr="00300738" w:rsidRDefault="002D0559" w:rsidP="00955CEC">
      <w:pPr>
        <w:pStyle w:val="Nadpis4"/>
      </w:pPr>
      <w:bookmarkStart w:id="16" w:name="_Toc465592564"/>
      <w:r w:rsidRPr="00E6133C">
        <w:t>P</w:t>
      </w:r>
      <w:r w:rsidRPr="00300738">
        <w:t>reference hlavních oblastí rozvoje</w:t>
      </w:r>
      <w:bookmarkEnd w:id="16"/>
    </w:p>
    <w:p w:rsidR="00476C67" w:rsidRPr="00476C67" w:rsidRDefault="00476C67" w:rsidP="00476C67">
      <w:pPr>
        <w:pStyle w:val="Bezmezer"/>
        <w:rPr>
          <w:highlight w:val="yellow"/>
        </w:rPr>
      </w:pPr>
      <w:r w:rsidRPr="00300738">
        <w:t xml:space="preserve">Následující tabulka v prvním sloupci zmiňuje šest hlavních oblastí, které by měly být v rámci rozvoje </w:t>
      </w:r>
      <w:r w:rsidR="00300738" w:rsidRPr="00300738">
        <w:t>mateřských škol</w:t>
      </w:r>
      <w:r w:rsidRPr="00300738">
        <w:t xml:space="preserve"> podporované v období 2016 – 2020 EU. K těm se měly jednotlivé </w:t>
      </w:r>
      <w:r w:rsidR="00300738" w:rsidRPr="00300738">
        <w:t>MŠ</w:t>
      </w:r>
      <w:r w:rsidRPr="00300738">
        <w:t xml:space="preserve"> vyjádřit a </w:t>
      </w:r>
      <w:r w:rsidRPr="00300738">
        <w:rPr>
          <w:b/>
        </w:rPr>
        <w:t>přiřadit jim prioritu dle svých potřeb od jedné (nejvyšší priorita) do šesti (nejnižší priorita)</w:t>
      </w:r>
      <w:r w:rsidRPr="00300738">
        <w:t xml:space="preserve">. Z druhého až čtvrtého sloupce jsou tak patrné konkrétní preference </w:t>
      </w:r>
      <w:r w:rsidR="00300738" w:rsidRPr="00300738">
        <w:t>MŠ</w:t>
      </w:r>
      <w:r w:rsidRPr="00300738">
        <w:t xml:space="preserve"> na úrovni ORP, kraje i státu (jedná se o zprůměrované hodnoty v rámci jednotlivých administrativních celků). </w:t>
      </w:r>
      <w:r w:rsidRPr="00300738">
        <w:rPr>
          <w:b/>
        </w:rPr>
        <w:t xml:space="preserve">Na všech třech úrovních panuje </w:t>
      </w:r>
      <w:r w:rsidR="00300738" w:rsidRPr="00300738">
        <w:rPr>
          <w:b/>
        </w:rPr>
        <w:t xml:space="preserve">významná </w:t>
      </w:r>
      <w:r w:rsidRPr="00300738">
        <w:rPr>
          <w:b/>
        </w:rPr>
        <w:t>shoda nad pořadím všech priorit</w:t>
      </w:r>
      <w:r w:rsidRPr="00C312D7">
        <w:t xml:space="preserve">. </w:t>
      </w:r>
      <w:r w:rsidRPr="00C312D7">
        <w:rPr>
          <w:b/>
        </w:rPr>
        <w:t xml:space="preserve">Nejvíce </w:t>
      </w:r>
      <w:r w:rsidR="00AF4C55" w:rsidRPr="00C312D7">
        <w:rPr>
          <w:b/>
        </w:rPr>
        <w:t xml:space="preserve">(a zcela shodně) </w:t>
      </w:r>
      <w:r w:rsidRPr="00C312D7">
        <w:rPr>
          <w:b/>
        </w:rPr>
        <w:t>j</w:t>
      </w:r>
      <w:r w:rsidR="00C312D7">
        <w:rPr>
          <w:b/>
        </w:rPr>
        <w:t>sou preferovány</w:t>
      </w:r>
      <w:r w:rsidRPr="00C312D7">
        <w:rPr>
          <w:b/>
        </w:rPr>
        <w:t xml:space="preserve"> podpora rozvoje infrastruktury </w:t>
      </w:r>
      <w:r w:rsidR="00C312D7" w:rsidRPr="00C312D7">
        <w:t>na prvním místě</w:t>
      </w:r>
      <w:r w:rsidR="00296C18">
        <w:t xml:space="preserve"> a </w:t>
      </w:r>
      <w:r w:rsidR="00296C18" w:rsidRPr="00296C18">
        <w:rPr>
          <w:b/>
        </w:rPr>
        <w:t>podpora polytechnického vzdělávání</w:t>
      </w:r>
      <w:r w:rsidR="00296C18">
        <w:t xml:space="preserve"> na místě druhém</w:t>
      </w:r>
      <w:r w:rsidR="00573FB2">
        <w:t xml:space="preserve">. Na třetím místě je na úrovni SO ORP i </w:t>
      </w:r>
      <w:r w:rsidR="00573FB2" w:rsidRPr="00573FB2">
        <w:t>kraje podpora</w:t>
      </w:r>
      <w:r w:rsidRPr="00573FB2">
        <w:t xml:space="preserve"> rozvoje matematické gramotnosti</w:t>
      </w:r>
      <w:r w:rsidR="00573FB2" w:rsidRPr="00573FB2">
        <w:t>, ale na úrovni státu patří této oblasti až pátá příčka.</w:t>
      </w:r>
      <w:r w:rsidRPr="00573FB2">
        <w:t xml:space="preserve"> Čtvrt</w:t>
      </w:r>
      <w:r w:rsidR="00573FB2" w:rsidRPr="00573FB2">
        <w:t xml:space="preserve">é a páté místo patří (opět na úrovni SO ORP a kraje) podpoře inkluzivního vzdělávání, resp. rozvoji čtenářské gramotnosti. V případě celého státu je potom pořadí o jednu příčku předraženo. </w:t>
      </w:r>
      <w:r w:rsidR="00573FB2" w:rsidRPr="00573FB2">
        <w:rPr>
          <w:b/>
        </w:rPr>
        <w:t>Na posledním místě</w:t>
      </w:r>
      <w:r w:rsidR="00573FB2" w:rsidRPr="00573FB2">
        <w:t xml:space="preserve"> opět panuje shoda na všech třech úrovních, </w:t>
      </w:r>
      <w:r w:rsidR="00573FB2" w:rsidRPr="00573FB2">
        <w:rPr>
          <w:b/>
        </w:rPr>
        <w:t>podpora kompetencí k iniciativě a kreativitě dětí</w:t>
      </w:r>
      <w:r w:rsidR="00573FB2" w:rsidRPr="00573FB2">
        <w:t>.</w:t>
      </w:r>
      <w:r w:rsidRPr="00573FB2">
        <w:t xml:space="preserve"> </w:t>
      </w:r>
    </w:p>
    <w:p w:rsidR="00476C67" w:rsidRPr="00476C67" w:rsidRDefault="00BC3BB6" w:rsidP="00476C67">
      <w:pPr>
        <w:pStyle w:val="Bezmezer"/>
        <w:rPr>
          <w:highlight w:val="yellow"/>
        </w:rPr>
      </w:pPr>
      <w:r w:rsidRPr="00C03509">
        <w:t>Z hlediska</w:t>
      </w:r>
      <w:r w:rsidR="00476C67" w:rsidRPr="00C03509">
        <w:t xml:space="preserve"> hodnocení aktuálního stavu</w:t>
      </w:r>
      <w:r w:rsidRPr="00C03509">
        <w:t xml:space="preserve"> jsou relevantní </w:t>
      </w:r>
      <w:r w:rsidR="00476C67" w:rsidRPr="00C03509">
        <w:t xml:space="preserve">poslední tři sloupce. </w:t>
      </w:r>
      <w:r w:rsidR="00677963" w:rsidRPr="00C03509">
        <w:t>To</w:t>
      </w:r>
      <w:r w:rsidR="00476C67" w:rsidRPr="00C03509">
        <w:t xml:space="preserve"> vychází z detailnějších tabulek, kterými se budeme zabývat dále a </w:t>
      </w:r>
      <w:r w:rsidR="00476C67" w:rsidRPr="00C03509">
        <w:rPr>
          <w:b/>
        </w:rPr>
        <w:t xml:space="preserve">škála je stanovena od jedné do čtyř, přičemž hodnota 1 znamená „vůbec se neuplatňuje, </w:t>
      </w:r>
      <w:r w:rsidR="00476C67" w:rsidRPr="00C03509">
        <w:t>tzn. maximálně stádium prvotních úvah</w:t>
      </w:r>
      <w:r w:rsidR="00476C67" w:rsidRPr="00C03509">
        <w:rPr>
          <w:b/>
        </w:rPr>
        <w:t xml:space="preserve">“ a hodnota 4 naopak „ideální stav, </w:t>
      </w:r>
      <w:r w:rsidR="00476C67" w:rsidRPr="00C03509">
        <w:t>tzn. vytvořené podmínky, funkční systém</w:t>
      </w:r>
      <w:r w:rsidR="00476C67" w:rsidRPr="00BF55EC">
        <w:rPr>
          <w:b/>
        </w:rPr>
        <w:t>“</w:t>
      </w:r>
      <w:r w:rsidR="00476C67" w:rsidRPr="00BF55EC">
        <w:t xml:space="preserve">. I zde panuje </w:t>
      </w:r>
      <w:r w:rsidR="00476C67" w:rsidRPr="00107C69">
        <w:rPr>
          <w:b/>
        </w:rPr>
        <w:t>výrazná shoda</w:t>
      </w:r>
      <w:r w:rsidR="00BF55EC" w:rsidRPr="00BF55EC">
        <w:t xml:space="preserve"> </w:t>
      </w:r>
      <w:r w:rsidR="00107C69" w:rsidRPr="00107C69">
        <w:rPr>
          <w:b/>
        </w:rPr>
        <w:t>mezi všemi zohledňovanými prostorovými úrovněmi</w:t>
      </w:r>
      <w:r w:rsidR="00107C69">
        <w:t xml:space="preserve"> </w:t>
      </w:r>
      <w:r w:rsidR="00BF55EC" w:rsidRPr="00BF55EC">
        <w:t xml:space="preserve">a to </w:t>
      </w:r>
      <w:r w:rsidR="00107C69">
        <w:t>v řádech</w:t>
      </w:r>
      <w:r w:rsidR="00BF55EC" w:rsidRPr="00BF55EC">
        <w:t xml:space="preserve"> desetinných míst</w:t>
      </w:r>
      <w:r w:rsidR="00476C67" w:rsidRPr="00BF55EC">
        <w:t xml:space="preserve">. </w:t>
      </w:r>
      <w:r w:rsidR="00476C67" w:rsidRPr="00D738F5">
        <w:t>Hodnocení všech šesti oblastí na všech třech ú</w:t>
      </w:r>
      <w:r w:rsidR="00650ECE" w:rsidRPr="00D738F5">
        <w:t>rovních se vejde do rozmezí 2,24 až 2,90</w:t>
      </w:r>
      <w:r w:rsidR="00476C67" w:rsidRPr="00D738F5">
        <w:t>, tedy pomezí mezi „</w:t>
      </w:r>
      <w:r w:rsidR="00476C67" w:rsidRPr="00D738F5">
        <w:rPr>
          <w:b/>
        </w:rPr>
        <w:t>rozvíjející se oblast</w:t>
      </w:r>
      <w:r w:rsidR="00476C67" w:rsidRPr="00D738F5">
        <w:t>, počáteční realizace“ a „</w:t>
      </w:r>
      <w:r w:rsidR="00476C67" w:rsidRPr="00D738F5">
        <w:rPr>
          <w:b/>
        </w:rPr>
        <w:t>realizovaná oblast</w:t>
      </w:r>
      <w:r w:rsidR="00476C67" w:rsidRPr="00D738F5">
        <w:t>, funkční části systému“.</w:t>
      </w:r>
      <w:r w:rsidR="00D77B03">
        <w:t xml:space="preserve"> Jedná se tedy o jakýsi „zlatý střed“ značící, že MŠ mají s danými tématy své zkušenosti, snaží se o jejich rozvoj, ale jsou daleky ideálního stavu. Rovněž je nutné počítat s klasickou „nemocí dotazníkových šetření“, kdy se vyplňující rádi drží kdesi v průměrných hodnotách.</w:t>
      </w:r>
    </w:p>
    <w:p w:rsidR="00476C67" w:rsidRPr="00E6133C" w:rsidRDefault="00476C67" w:rsidP="00476C67">
      <w:pPr>
        <w:pStyle w:val="Nadpis5"/>
      </w:pPr>
      <w:r w:rsidRPr="00E6133C">
        <w:lastRenderedPageBreak/>
        <w:t xml:space="preserve">Tabulka: </w:t>
      </w:r>
      <w:r w:rsidR="007B41CA">
        <w:t>Hlavní oblasti podporované z EU</w:t>
      </w:r>
    </w:p>
    <w:tbl>
      <w:tblPr>
        <w:tblW w:w="8948" w:type="dxa"/>
        <w:tblInd w:w="53" w:type="dxa"/>
        <w:tblBorders>
          <w:insideH w:val="single" w:sz="8" w:space="0" w:color="auto"/>
          <w:insideV w:val="single" w:sz="8" w:space="0" w:color="auto"/>
        </w:tblBorders>
        <w:tblLayout w:type="fixed"/>
        <w:tblCellMar>
          <w:left w:w="70" w:type="dxa"/>
          <w:right w:w="70" w:type="dxa"/>
        </w:tblCellMar>
        <w:tblLook w:val="04A0"/>
      </w:tblPr>
      <w:tblGrid>
        <w:gridCol w:w="4553"/>
        <w:gridCol w:w="993"/>
        <w:gridCol w:w="567"/>
        <w:gridCol w:w="567"/>
        <w:gridCol w:w="992"/>
        <w:gridCol w:w="567"/>
        <w:gridCol w:w="709"/>
      </w:tblGrid>
      <w:tr w:rsidR="001D4584" w:rsidRPr="001D4584" w:rsidTr="00300738">
        <w:trPr>
          <w:trHeight w:val="227"/>
        </w:trPr>
        <w:tc>
          <w:tcPr>
            <w:tcW w:w="4553" w:type="dxa"/>
            <w:vMerge w:val="restart"/>
            <w:shd w:val="clear" w:color="000000" w:fill="FAC090"/>
            <w:vAlign w:val="center"/>
            <w:hideMark/>
          </w:tcPr>
          <w:p w:rsidR="001D4584" w:rsidRPr="001D4584" w:rsidRDefault="001D4584" w:rsidP="00300738">
            <w:pPr>
              <w:pStyle w:val="Nzev"/>
              <w:jc w:val="left"/>
              <w:rPr>
                <w:rFonts w:eastAsia="Times New Roman"/>
                <w:lang w:eastAsia="cs-CZ"/>
              </w:rPr>
            </w:pPr>
          </w:p>
        </w:tc>
        <w:tc>
          <w:tcPr>
            <w:tcW w:w="2127" w:type="dxa"/>
            <w:gridSpan w:val="3"/>
            <w:shd w:val="clear" w:color="000000" w:fill="FAC090"/>
            <w:noWrap/>
            <w:vAlign w:val="bottom"/>
            <w:hideMark/>
          </w:tcPr>
          <w:p w:rsidR="001D4584" w:rsidRPr="001D4584" w:rsidRDefault="001D4584" w:rsidP="00300738">
            <w:pPr>
              <w:pStyle w:val="Nzev"/>
              <w:jc w:val="center"/>
              <w:rPr>
                <w:rFonts w:eastAsia="Times New Roman"/>
                <w:lang w:eastAsia="cs-CZ"/>
              </w:rPr>
            </w:pPr>
            <w:r w:rsidRPr="001D4584">
              <w:rPr>
                <w:rFonts w:eastAsia="Times New Roman"/>
                <w:lang w:eastAsia="cs-CZ"/>
              </w:rPr>
              <w:t>Pořadí podle potřeb škol</w:t>
            </w:r>
          </w:p>
        </w:tc>
        <w:tc>
          <w:tcPr>
            <w:tcW w:w="2268" w:type="dxa"/>
            <w:gridSpan w:val="3"/>
            <w:shd w:val="clear" w:color="000000" w:fill="FAC090"/>
            <w:vAlign w:val="bottom"/>
            <w:hideMark/>
          </w:tcPr>
          <w:p w:rsidR="001D4584" w:rsidRPr="001D4584" w:rsidRDefault="001D4584" w:rsidP="00300738">
            <w:pPr>
              <w:pStyle w:val="Nzev"/>
              <w:jc w:val="center"/>
              <w:rPr>
                <w:rFonts w:eastAsia="Times New Roman"/>
                <w:lang w:eastAsia="cs-CZ"/>
              </w:rPr>
            </w:pPr>
            <w:r w:rsidRPr="001D4584">
              <w:rPr>
                <w:rFonts w:eastAsia="Times New Roman"/>
                <w:lang w:eastAsia="cs-CZ"/>
              </w:rPr>
              <w:t>Průměrné hodnocení aktuálního stavu</w:t>
            </w:r>
          </w:p>
        </w:tc>
      </w:tr>
      <w:tr w:rsidR="00300738" w:rsidRPr="001D4584" w:rsidTr="00300738">
        <w:trPr>
          <w:trHeight w:val="227"/>
        </w:trPr>
        <w:tc>
          <w:tcPr>
            <w:tcW w:w="4553" w:type="dxa"/>
            <w:vMerge/>
            <w:vAlign w:val="center"/>
            <w:hideMark/>
          </w:tcPr>
          <w:p w:rsidR="001D4584" w:rsidRPr="001D4584" w:rsidRDefault="001D4584" w:rsidP="00300738">
            <w:pPr>
              <w:pStyle w:val="Nzev"/>
              <w:jc w:val="left"/>
              <w:rPr>
                <w:rFonts w:eastAsia="Times New Roman"/>
                <w:lang w:eastAsia="cs-CZ"/>
              </w:rPr>
            </w:pPr>
          </w:p>
        </w:tc>
        <w:tc>
          <w:tcPr>
            <w:tcW w:w="993" w:type="dxa"/>
            <w:shd w:val="clear" w:color="000000" w:fill="FAC090"/>
            <w:vAlign w:val="center"/>
            <w:hideMark/>
          </w:tcPr>
          <w:p w:rsidR="001D4584" w:rsidRPr="001D4584" w:rsidRDefault="00300738" w:rsidP="00300738">
            <w:pPr>
              <w:pStyle w:val="Nzev"/>
              <w:jc w:val="center"/>
              <w:rPr>
                <w:rFonts w:eastAsia="Times New Roman"/>
                <w:sz w:val="20"/>
                <w:szCs w:val="20"/>
                <w:lang w:eastAsia="cs-CZ"/>
              </w:rPr>
            </w:pPr>
            <w:r>
              <w:rPr>
                <w:rFonts w:eastAsia="Times New Roman"/>
                <w:sz w:val="20"/>
                <w:szCs w:val="20"/>
                <w:lang w:eastAsia="cs-CZ"/>
              </w:rPr>
              <w:t>SO</w:t>
            </w:r>
            <w:r w:rsidR="001D4584" w:rsidRPr="001D4584">
              <w:rPr>
                <w:rFonts w:eastAsia="Times New Roman"/>
                <w:sz w:val="20"/>
                <w:szCs w:val="20"/>
                <w:lang w:eastAsia="cs-CZ"/>
              </w:rPr>
              <w:t xml:space="preserve"> ORP</w:t>
            </w:r>
          </w:p>
        </w:tc>
        <w:tc>
          <w:tcPr>
            <w:tcW w:w="567" w:type="dxa"/>
            <w:shd w:val="clear" w:color="000000" w:fill="FAC090"/>
            <w:vAlign w:val="center"/>
            <w:hideMark/>
          </w:tcPr>
          <w:p w:rsidR="001D4584" w:rsidRPr="001D4584" w:rsidRDefault="00300738" w:rsidP="00300738">
            <w:pPr>
              <w:pStyle w:val="Nzev"/>
              <w:jc w:val="center"/>
              <w:rPr>
                <w:rFonts w:eastAsia="Times New Roman"/>
                <w:sz w:val="20"/>
                <w:szCs w:val="20"/>
                <w:lang w:eastAsia="cs-CZ"/>
              </w:rPr>
            </w:pPr>
            <w:r>
              <w:rPr>
                <w:rFonts w:eastAsia="Times New Roman"/>
                <w:sz w:val="20"/>
                <w:szCs w:val="20"/>
                <w:lang w:eastAsia="cs-CZ"/>
              </w:rPr>
              <w:t>kraj</w:t>
            </w:r>
          </w:p>
        </w:tc>
        <w:tc>
          <w:tcPr>
            <w:tcW w:w="567" w:type="dxa"/>
            <w:shd w:val="clear" w:color="000000" w:fill="FAC090"/>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ČR</w:t>
            </w:r>
          </w:p>
        </w:tc>
        <w:tc>
          <w:tcPr>
            <w:tcW w:w="992" w:type="dxa"/>
            <w:shd w:val="clear" w:color="000000" w:fill="FAC090"/>
            <w:vAlign w:val="center"/>
            <w:hideMark/>
          </w:tcPr>
          <w:p w:rsidR="001D4584" w:rsidRPr="001D4584" w:rsidRDefault="00300738" w:rsidP="00300738">
            <w:pPr>
              <w:pStyle w:val="Nzev"/>
              <w:jc w:val="center"/>
              <w:rPr>
                <w:rFonts w:eastAsia="Times New Roman"/>
                <w:sz w:val="20"/>
                <w:szCs w:val="20"/>
                <w:lang w:eastAsia="cs-CZ"/>
              </w:rPr>
            </w:pPr>
            <w:r>
              <w:rPr>
                <w:rFonts w:eastAsia="Times New Roman"/>
                <w:sz w:val="20"/>
                <w:szCs w:val="20"/>
                <w:lang w:eastAsia="cs-CZ"/>
              </w:rPr>
              <w:t xml:space="preserve">SO </w:t>
            </w:r>
            <w:r w:rsidR="001D4584" w:rsidRPr="001D4584">
              <w:rPr>
                <w:rFonts w:eastAsia="Times New Roman"/>
                <w:sz w:val="20"/>
                <w:szCs w:val="20"/>
                <w:lang w:eastAsia="cs-CZ"/>
              </w:rPr>
              <w:t>ORP</w:t>
            </w:r>
          </w:p>
        </w:tc>
        <w:tc>
          <w:tcPr>
            <w:tcW w:w="567" w:type="dxa"/>
            <w:shd w:val="clear" w:color="000000" w:fill="FAC090"/>
            <w:vAlign w:val="center"/>
            <w:hideMark/>
          </w:tcPr>
          <w:p w:rsidR="001D4584" w:rsidRPr="001D4584" w:rsidRDefault="00300738" w:rsidP="00300738">
            <w:pPr>
              <w:pStyle w:val="Nzev"/>
              <w:jc w:val="center"/>
              <w:rPr>
                <w:rFonts w:eastAsia="Times New Roman"/>
                <w:sz w:val="20"/>
                <w:szCs w:val="20"/>
                <w:lang w:eastAsia="cs-CZ"/>
              </w:rPr>
            </w:pPr>
            <w:r>
              <w:rPr>
                <w:rFonts w:eastAsia="Times New Roman"/>
                <w:sz w:val="20"/>
                <w:szCs w:val="20"/>
                <w:lang w:eastAsia="cs-CZ"/>
              </w:rPr>
              <w:t>kraj</w:t>
            </w:r>
          </w:p>
        </w:tc>
        <w:tc>
          <w:tcPr>
            <w:tcW w:w="709" w:type="dxa"/>
            <w:shd w:val="clear" w:color="000000" w:fill="FAC090"/>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ČR</w:t>
            </w:r>
          </w:p>
        </w:tc>
      </w:tr>
      <w:tr w:rsidR="00300738" w:rsidRPr="001D4584" w:rsidTr="00300738">
        <w:trPr>
          <w:trHeight w:val="227"/>
        </w:trPr>
        <w:tc>
          <w:tcPr>
            <w:tcW w:w="4553" w:type="dxa"/>
            <w:shd w:val="clear" w:color="auto" w:fill="auto"/>
            <w:vAlign w:val="center"/>
            <w:hideMark/>
          </w:tcPr>
          <w:p w:rsidR="001D4584" w:rsidRPr="001D4584" w:rsidRDefault="001D4584" w:rsidP="00300738">
            <w:pPr>
              <w:pStyle w:val="Nzev"/>
              <w:jc w:val="left"/>
              <w:rPr>
                <w:rFonts w:eastAsia="Times New Roman"/>
                <w:sz w:val="20"/>
                <w:szCs w:val="20"/>
                <w:lang w:eastAsia="cs-CZ"/>
              </w:rPr>
            </w:pPr>
            <w:r w:rsidRPr="001D4584">
              <w:rPr>
                <w:rFonts w:eastAsia="Times New Roman"/>
                <w:sz w:val="20"/>
                <w:szCs w:val="20"/>
                <w:lang w:eastAsia="cs-CZ"/>
              </w:rPr>
              <w:t>Podpora inkluzivního / společného vzdělávání</w:t>
            </w:r>
          </w:p>
        </w:tc>
        <w:tc>
          <w:tcPr>
            <w:tcW w:w="993"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4</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4</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3</w:t>
            </w:r>
          </w:p>
        </w:tc>
        <w:tc>
          <w:tcPr>
            <w:tcW w:w="992"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2,53</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2,50</w:t>
            </w:r>
          </w:p>
        </w:tc>
        <w:tc>
          <w:tcPr>
            <w:tcW w:w="709"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2,51</w:t>
            </w:r>
          </w:p>
        </w:tc>
      </w:tr>
      <w:tr w:rsidR="00300738" w:rsidRPr="001D4584" w:rsidTr="00300738">
        <w:trPr>
          <w:trHeight w:val="227"/>
        </w:trPr>
        <w:tc>
          <w:tcPr>
            <w:tcW w:w="4553" w:type="dxa"/>
            <w:shd w:val="clear" w:color="auto" w:fill="auto"/>
            <w:vAlign w:val="center"/>
            <w:hideMark/>
          </w:tcPr>
          <w:p w:rsidR="001D4584" w:rsidRPr="001D4584" w:rsidRDefault="001D4584" w:rsidP="00300738">
            <w:pPr>
              <w:pStyle w:val="Nzev"/>
              <w:jc w:val="left"/>
              <w:rPr>
                <w:rFonts w:eastAsia="Times New Roman"/>
                <w:sz w:val="20"/>
                <w:szCs w:val="20"/>
                <w:lang w:eastAsia="cs-CZ"/>
              </w:rPr>
            </w:pPr>
            <w:r w:rsidRPr="001D4584">
              <w:rPr>
                <w:rFonts w:eastAsia="Times New Roman"/>
                <w:sz w:val="20"/>
                <w:szCs w:val="20"/>
                <w:lang w:eastAsia="cs-CZ"/>
              </w:rPr>
              <w:t>Podpora rozvoje čtenářské pregramotnosti</w:t>
            </w:r>
          </w:p>
        </w:tc>
        <w:tc>
          <w:tcPr>
            <w:tcW w:w="993"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5</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5</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4</w:t>
            </w:r>
          </w:p>
        </w:tc>
        <w:tc>
          <w:tcPr>
            <w:tcW w:w="992"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2,64</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2,62</w:t>
            </w:r>
          </w:p>
        </w:tc>
        <w:tc>
          <w:tcPr>
            <w:tcW w:w="709"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2,63</w:t>
            </w:r>
          </w:p>
        </w:tc>
      </w:tr>
      <w:tr w:rsidR="00300738" w:rsidRPr="001D4584" w:rsidTr="00E15E84">
        <w:trPr>
          <w:trHeight w:val="227"/>
        </w:trPr>
        <w:tc>
          <w:tcPr>
            <w:tcW w:w="4553" w:type="dxa"/>
            <w:shd w:val="clear" w:color="auto" w:fill="auto"/>
            <w:vAlign w:val="center"/>
            <w:hideMark/>
          </w:tcPr>
          <w:p w:rsidR="001D4584" w:rsidRPr="001D4584" w:rsidRDefault="001D4584" w:rsidP="00300738">
            <w:pPr>
              <w:pStyle w:val="Nzev"/>
              <w:jc w:val="left"/>
              <w:rPr>
                <w:rFonts w:eastAsia="Times New Roman"/>
                <w:sz w:val="20"/>
                <w:szCs w:val="20"/>
                <w:lang w:eastAsia="cs-CZ"/>
              </w:rPr>
            </w:pPr>
            <w:r w:rsidRPr="001D4584">
              <w:rPr>
                <w:rFonts w:eastAsia="Times New Roman"/>
                <w:sz w:val="20"/>
                <w:szCs w:val="20"/>
                <w:lang w:eastAsia="cs-CZ"/>
              </w:rPr>
              <w:t>Podpora rozvoje matematické pregramotnosti</w:t>
            </w:r>
          </w:p>
        </w:tc>
        <w:tc>
          <w:tcPr>
            <w:tcW w:w="993"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3</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3</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5</w:t>
            </w:r>
          </w:p>
        </w:tc>
        <w:tc>
          <w:tcPr>
            <w:tcW w:w="992" w:type="dxa"/>
            <w:shd w:val="clear" w:color="auto" w:fill="auto"/>
            <w:vAlign w:val="center"/>
            <w:hideMark/>
          </w:tcPr>
          <w:p w:rsidR="001D4584" w:rsidRPr="00E15E84" w:rsidRDefault="001D4584" w:rsidP="00300738">
            <w:pPr>
              <w:pStyle w:val="Nzev"/>
              <w:jc w:val="center"/>
              <w:rPr>
                <w:rFonts w:eastAsia="Times New Roman"/>
                <w:sz w:val="20"/>
                <w:szCs w:val="20"/>
                <w:lang w:eastAsia="cs-CZ"/>
              </w:rPr>
            </w:pPr>
            <w:r w:rsidRPr="00E15E84">
              <w:rPr>
                <w:rFonts w:eastAsia="Times New Roman"/>
                <w:sz w:val="20"/>
                <w:szCs w:val="20"/>
                <w:lang w:eastAsia="cs-CZ"/>
              </w:rPr>
              <w:t>2,40</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2,40</w:t>
            </w:r>
          </w:p>
        </w:tc>
        <w:tc>
          <w:tcPr>
            <w:tcW w:w="709"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2,41</w:t>
            </w:r>
          </w:p>
        </w:tc>
      </w:tr>
      <w:tr w:rsidR="00300738" w:rsidRPr="001D4584" w:rsidTr="00E15E84">
        <w:trPr>
          <w:trHeight w:val="227"/>
        </w:trPr>
        <w:tc>
          <w:tcPr>
            <w:tcW w:w="4553" w:type="dxa"/>
            <w:shd w:val="clear" w:color="auto" w:fill="auto"/>
            <w:vAlign w:val="center"/>
            <w:hideMark/>
          </w:tcPr>
          <w:p w:rsidR="001D4584" w:rsidRPr="001D4584" w:rsidRDefault="007F34AD" w:rsidP="00300738">
            <w:pPr>
              <w:pStyle w:val="Nzev"/>
              <w:jc w:val="left"/>
              <w:rPr>
                <w:rFonts w:eastAsia="Times New Roman"/>
                <w:sz w:val="20"/>
                <w:szCs w:val="20"/>
                <w:lang w:eastAsia="cs-CZ"/>
              </w:rPr>
            </w:pPr>
            <w:r>
              <w:rPr>
                <w:rFonts w:eastAsia="Times New Roman"/>
                <w:sz w:val="20"/>
                <w:szCs w:val="20"/>
                <w:lang w:eastAsia="cs-CZ"/>
              </w:rPr>
              <w:t xml:space="preserve">Podpora </w:t>
            </w:r>
            <w:proofErr w:type="spellStart"/>
            <w:r>
              <w:rPr>
                <w:rFonts w:eastAsia="Times New Roman"/>
                <w:sz w:val="20"/>
                <w:szCs w:val="20"/>
                <w:lang w:eastAsia="cs-CZ"/>
              </w:rPr>
              <w:t>kompet</w:t>
            </w:r>
            <w:proofErr w:type="spellEnd"/>
            <w:r>
              <w:rPr>
                <w:rFonts w:eastAsia="Times New Roman"/>
                <w:sz w:val="20"/>
                <w:szCs w:val="20"/>
                <w:lang w:eastAsia="cs-CZ"/>
              </w:rPr>
              <w:t>.</w:t>
            </w:r>
            <w:r w:rsidR="001D4584" w:rsidRPr="001D4584">
              <w:rPr>
                <w:rFonts w:eastAsia="Times New Roman"/>
                <w:sz w:val="20"/>
                <w:szCs w:val="20"/>
                <w:lang w:eastAsia="cs-CZ"/>
              </w:rPr>
              <w:t xml:space="preserve"> k iniciativě a kreativitě dětí</w:t>
            </w:r>
          </w:p>
        </w:tc>
        <w:tc>
          <w:tcPr>
            <w:tcW w:w="993"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6</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6</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6</w:t>
            </w:r>
          </w:p>
        </w:tc>
        <w:tc>
          <w:tcPr>
            <w:tcW w:w="992" w:type="dxa"/>
            <w:shd w:val="clear" w:color="auto" w:fill="auto"/>
            <w:vAlign w:val="center"/>
            <w:hideMark/>
          </w:tcPr>
          <w:p w:rsidR="001D4584" w:rsidRPr="00E15E84" w:rsidRDefault="001D4584" w:rsidP="00300738">
            <w:pPr>
              <w:pStyle w:val="Nzev"/>
              <w:jc w:val="center"/>
              <w:rPr>
                <w:rFonts w:eastAsia="Times New Roman"/>
                <w:sz w:val="20"/>
                <w:szCs w:val="20"/>
                <w:lang w:eastAsia="cs-CZ"/>
              </w:rPr>
            </w:pPr>
            <w:r w:rsidRPr="00E15E84">
              <w:rPr>
                <w:rFonts w:eastAsia="Times New Roman"/>
                <w:sz w:val="20"/>
                <w:szCs w:val="20"/>
                <w:lang w:eastAsia="cs-CZ"/>
              </w:rPr>
              <w:t>2,74</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2,89</w:t>
            </w:r>
          </w:p>
        </w:tc>
        <w:tc>
          <w:tcPr>
            <w:tcW w:w="709"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2,90</w:t>
            </w:r>
          </w:p>
        </w:tc>
      </w:tr>
      <w:tr w:rsidR="00300738" w:rsidRPr="001D4584" w:rsidTr="00E22CFB">
        <w:trPr>
          <w:trHeight w:val="227"/>
        </w:trPr>
        <w:tc>
          <w:tcPr>
            <w:tcW w:w="4553" w:type="dxa"/>
            <w:shd w:val="clear" w:color="auto" w:fill="auto"/>
            <w:vAlign w:val="center"/>
            <w:hideMark/>
          </w:tcPr>
          <w:p w:rsidR="001D4584" w:rsidRPr="001D4584" w:rsidRDefault="001D4584" w:rsidP="00300738">
            <w:pPr>
              <w:pStyle w:val="Nzev"/>
              <w:jc w:val="left"/>
              <w:rPr>
                <w:rFonts w:eastAsia="Times New Roman"/>
                <w:sz w:val="20"/>
                <w:szCs w:val="20"/>
                <w:lang w:eastAsia="cs-CZ"/>
              </w:rPr>
            </w:pPr>
            <w:r w:rsidRPr="001D4584">
              <w:rPr>
                <w:rFonts w:eastAsia="Times New Roman"/>
                <w:sz w:val="20"/>
                <w:szCs w:val="20"/>
                <w:lang w:eastAsia="cs-CZ"/>
              </w:rPr>
              <w:t>Podpora polytechnického vzdělávání</w:t>
            </w:r>
          </w:p>
        </w:tc>
        <w:tc>
          <w:tcPr>
            <w:tcW w:w="993" w:type="dxa"/>
            <w:shd w:val="clear" w:color="000000" w:fill="FFFFFF"/>
            <w:vAlign w:val="center"/>
            <w:hideMark/>
          </w:tcPr>
          <w:p w:rsidR="001D4584" w:rsidRPr="001D4584" w:rsidRDefault="00AF4C55" w:rsidP="00300738">
            <w:pPr>
              <w:pStyle w:val="Nzev"/>
              <w:jc w:val="center"/>
              <w:rPr>
                <w:rFonts w:eastAsia="Times New Roman"/>
                <w:sz w:val="20"/>
                <w:szCs w:val="20"/>
                <w:lang w:eastAsia="cs-CZ"/>
              </w:rPr>
            </w:pPr>
            <w:r>
              <w:rPr>
                <w:rFonts w:eastAsia="Times New Roman"/>
                <w:sz w:val="20"/>
                <w:szCs w:val="20"/>
                <w:lang w:eastAsia="cs-CZ"/>
              </w:rPr>
              <w:t>2</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w:t>
            </w:r>
          </w:p>
        </w:tc>
        <w:tc>
          <w:tcPr>
            <w:tcW w:w="992" w:type="dxa"/>
            <w:tcBorders>
              <w:bottom w:val="single" w:sz="8" w:space="0" w:color="auto"/>
            </w:tcBorders>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2,29</w:t>
            </w:r>
          </w:p>
        </w:tc>
        <w:tc>
          <w:tcPr>
            <w:tcW w:w="567" w:type="dxa"/>
            <w:tcBorders>
              <w:bottom w:val="single" w:sz="8" w:space="0" w:color="auto"/>
            </w:tcBorders>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2,24</w:t>
            </w:r>
          </w:p>
        </w:tc>
        <w:tc>
          <w:tcPr>
            <w:tcW w:w="709" w:type="dxa"/>
            <w:tcBorders>
              <w:bottom w:val="single" w:sz="8" w:space="0" w:color="auto"/>
            </w:tcBorders>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2,25</w:t>
            </w:r>
          </w:p>
        </w:tc>
      </w:tr>
      <w:tr w:rsidR="00300738" w:rsidRPr="001D4584" w:rsidTr="00E22CFB">
        <w:trPr>
          <w:trHeight w:val="227"/>
        </w:trPr>
        <w:tc>
          <w:tcPr>
            <w:tcW w:w="4553" w:type="dxa"/>
            <w:shd w:val="clear" w:color="auto" w:fill="auto"/>
            <w:vAlign w:val="center"/>
            <w:hideMark/>
          </w:tcPr>
          <w:p w:rsidR="001D4584" w:rsidRPr="001D4584" w:rsidRDefault="001D4584" w:rsidP="00300738">
            <w:pPr>
              <w:pStyle w:val="Nzev"/>
              <w:jc w:val="left"/>
              <w:rPr>
                <w:rFonts w:eastAsia="Times New Roman"/>
                <w:sz w:val="20"/>
                <w:szCs w:val="20"/>
                <w:lang w:eastAsia="cs-CZ"/>
              </w:rPr>
            </w:pPr>
            <w:r w:rsidRPr="001D4584">
              <w:rPr>
                <w:rFonts w:eastAsia="Times New Roman"/>
                <w:sz w:val="20"/>
                <w:szCs w:val="20"/>
                <w:lang w:eastAsia="cs-CZ"/>
              </w:rPr>
              <w:t>Rozvoj infrastruktury školy, vč. rekonstrukcí a vybavení</w:t>
            </w:r>
          </w:p>
        </w:tc>
        <w:tc>
          <w:tcPr>
            <w:tcW w:w="993"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1</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1</w:t>
            </w:r>
          </w:p>
        </w:tc>
        <w:tc>
          <w:tcPr>
            <w:tcW w:w="567" w:type="dxa"/>
            <w:shd w:val="clear" w:color="000000" w:fill="FFFFFF"/>
            <w:vAlign w:val="center"/>
            <w:hideMark/>
          </w:tcPr>
          <w:p w:rsidR="001D4584" w:rsidRPr="001D4584" w:rsidRDefault="001D4584" w:rsidP="00300738">
            <w:pPr>
              <w:pStyle w:val="Nzev"/>
              <w:jc w:val="center"/>
              <w:rPr>
                <w:rFonts w:eastAsia="Times New Roman"/>
                <w:sz w:val="20"/>
                <w:szCs w:val="20"/>
                <w:lang w:eastAsia="cs-CZ"/>
              </w:rPr>
            </w:pPr>
            <w:r w:rsidRPr="001D4584">
              <w:rPr>
                <w:rFonts w:eastAsia="Times New Roman"/>
                <w:sz w:val="20"/>
                <w:szCs w:val="20"/>
                <w:lang w:eastAsia="cs-CZ"/>
              </w:rPr>
              <w:t>1</w:t>
            </w:r>
          </w:p>
        </w:tc>
        <w:tc>
          <w:tcPr>
            <w:tcW w:w="992" w:type="dxa"/>
            <w:tcBorders>
              <w:top w:val="single" w:sz="8" w:space="0" w:color="auto"/>
              <w:bottom w:val="nil"/>
              <w:tl2br w:val="single" w:sz="8" w:space="0" w:color="auto"/>
              <w:tr2bl w:val="single" w:sz="8" w:space="0" w:color="auto"/>
            </w:tcBorders>
            <w:shd w:val="clear" w:color="000000" w:fill="FFFFFF"/>
            <w:vAlign w:val="center"/>
            <w:hideMark/>
          </w:tcPr>
          <w:p w:rsidR="001D4584" w:rsidRPr="001D4584" w:rsidRDefault="001D4584" w:rsidP="00300738">
            <w:pPr>
              <w:pStyle w:val="Nzev"/>
              <w:jc w:val="center"/>
              <w:rPr>
                <w:rFonts w:eastAsia="Times New Roman"/>
                <w:sz w:val="20"/>
                <w:szCs w:val="20"/>
                <w:lang w:eastAsia="cs-CZ"/>
              </w:rPr>
            </w:pPr>
          </w:p>
        </w:tc>
        <w:tc>
          <w:tcPr>
            <w:tcW w:w="567" w:type="dxa"/>
            <w:tcBorders>
              <w:top w:val="single" w:sz="8" w:space="0" w:color="auto"/>
              <w:bottom w:val="nil"/>
              <w:tl2br w:val="single" w:sz="8" w:space="0" w:color="auto"/>
              <w:tr2bl w:val="single" w:sz="8" w:space="0" w:color="auto"/>
            </w:tcBorders>
            <w:shd w:val="clear" w:color="000000" w:fill="FFFFFF"/>
            <w:vAlign w:val="center"/>
            <w:hideMark/>
          </w:tcPr>
          <w:p w:rsidR="001D4584" w:rsidRPr="001D4584" w:rsidRDefault="001D4584" w:rsidP="00300738">
            <w:pPr>
              <w:pStyle w:val="Nzev"/>
              <w:jc w:val="center"/>
              <w:rPr>
                <w:rFonts w:eastAsia="Times New Roman"/>
                <w:sz w:val="20"/>
                <w:szCs w:val="20"/>
                <w:lang w:eastAsia="cs-CZ"/>
              </w:rPr>
            </w:pPr>
          </w:p>
        </w:tc>
        <w:tc>
          <w:tcPr>
            <w:tcW w:w="709" w:type="dxa"/>
            <w:tcBorders>
              <w:top w:val="single" w:sz="8" w:space="0" w:color="auto"/>
              <w:bottom w:val="nil"/>
              <w:tl2br w:val="single" w:sz="8" w:space="0" w:color="auto"/>
              <w:tr2bl w:val="single" w:sz="8" w:space="0" w:color="auto"/>
            </w:tcBorders>
            <w:shd w:val="clear" w:color="000000" w:fill="FFFFFF"/>
            <w:vAlign w:val="center"/>
            <w:hideMark/>
          </w:tcPr>
          <w:p w:rsidR="001D4584" w:rsidRPr="001D4584" w:rsidRDefault="001D4584" w:rsidP="00300738">
            <w:pPr>
              <w:pStyle w:val="Nzev"/>
              <w:jc w:val="center"/>
              <w:rPr>
                <w:rFonts w:eastAsia="Times New Roman"/>
                <w:sz w:val="20"/>
                <w:szCs w:val="20"/>
                <w:lang w:eastAsia="cs-CZ"/>
              </w:rPr>
            </w:pPr>
          </w:p>
        </w:tc>
      </w:tr>
    </w:tbl>
    <w:p w:rsidR="00476C67" w:rsidRPr="00476C67" w:rsidRDefault="004262C6" w:rsidP="00476C67">
      <w:pPr>
        <w:pStyle w:val="Bezmezer"/>
        <w:rPr>
          <w:highlight w:val="yellow"/>
        </w:rPr>
      </w:pPr>
      <w:r>
        <w:t xml:space="preserve">V </w:t>
      </w:r>
      <w:r w:rsidR="00476C67" w:rsidRPr="004262C6">
        <w:t>případě dalších tří oblastí</w:t>
      </w:r>
      <w:r>
        <w:t xml:space="preserve"> je situace poněkud </w:t>
      </w:r>
      <w:r w:rsidRPr="004262C6">
        <w:t>jiná</w:t>
      </w:r>
      <w:r w:rsidR="00476C67" w:rsidRPr="004262C6">
        <w:t xml:space="preserve">. </w:t>
      </w:r>
      <w:r w:rsidRPr="004262C6">
        <w:t xml:space="preserve">První dvě preferované oblasti </w:t>
      </w:r>
      <w:r w:rsidRPr="003C3328">
        <w:rPr>
          <w:b/>
        </w:rPr>
        <w:t>na úrovni SO ORP</w:t>
      </w:r>
      <w:r w:rsidRPr="004262C6">
        <w:t xml:space="preserve"> jsou </w:t>
      </w:r>
      <w:r w:rsidRPr="003C3328">
        <w:rPr>
          <w:b/>
        </w:rPr>
        <w:t>jazykové vzděláv</w:t>
      </w:r>
      <w:r w:rsidR="00043F0D" w:rsidRPr="003C3328">
        <w:rPr>
          <w:b/>
        </w:rPr>
        <w:t>á</w:t>
      </w:r>
      <w:r w:rsidRPr="003C3328">
        <w:rPr>
          <w:b/>
        </w:rPr>
        <w:t>ní a ICT</w:t>
      </w:r>
      <w:r w:rsidRPr="004262C6">
        <w:t>, v případě kraje a ČR jsou pozice prohozené.</w:t>
      </w:r>
      <w:r w:rsidR="003C3328">
        <w:t xml:space="preserve"> Úplná shoda </w:t>
      </w:r>
      <w:r w:rsidR="003C3328" w:rsidRPr="003C3328">
        <w:t xml:space="preserve">panuje na třetí pozici. </w:t>
      </w:r>
      <w:r w:rsidR="003C3328" w:rsidRPr="00063559">
        <w:rPr>
          <w:b/>
        </w:rPr>
        <w:t>Nejnižší zájem je o sociální a občanské dovednosti</w:t>
      </w:r>
      <w:r w:rsidR="003C3328" w:rsidRPr="003C3328">
        <w:t>.</w:t>
      </w:r>
      <w:r w:rsidRPr="003C3328">
        <w:t xml:space="preserve"> </w:t>
      </w:r>
      <w:r w:rsidR="003C3328" w:rsidRPr="003C3328">
        <w:t>Co se současného stavu týká,</w:t>
      </w:r>
      <w:r w:rsidR="00476C67" w:rsidRPr="003C3328">
        <w:t xml:space="preserve"> je</w:t>
      </w:r>
      <w:r w:rsidR="003C3328" w:rsidRPr="003C3328">
        <w:t xml:space="preserve"> nejdále</w:t>
      </w:r>
      <w:r w:rsidR="00476C67" w:rsidRPr="003C3328">
        <w:t xml:space="preserve"> realizace sociálních a občanských dovedností (rozpětí od </w:t>
      </w:r>
      <w:r w:rsidR="003C3328" w:rsidRPr="003C3328">
        <w:t>2,99 po 3,04)</w:t>
      </w:r>
      <w:r w:rsidR="00476C67" w:rsidRPr="003C3328">
        <w:t xml:space="preserve">. </w:t>
      </w:r>
      <w:r w:rsidR="00063559">
        <w:t xml:space="preserve">Z toho plyne logický vztah, kdy MŠ nemají zájem o hlubší podporu z EU na rozvoj sociálních a občanských dovedností, protože mají pocit, že tato oblast je v současné době dostatečně saturována. </w:t>
      </w:r>
    </w:p>
    <w:p w:rsidR="00476C67" w:rsidRPr="007B41CA" w:rsidRDefault="00476C67" w:rsidP="00476C67">
      <w:pPr>
        <w:pStyle w:val="Nadpis5"/>
      </w:pPr>
      <w:r w:rsidRPr="007B41CA">
        <w:t xml:space="preserve">Tabulka: Další oblasti podporované z EU </w:t>
      </w:r>
    </w:p>
    <w:tbl>
      <w:tblPr>
        <w:tblW w:w="8948" w:type="dxa"/>
        <w:tblInd w:w="53" w:type="dxa"/>
        <w:tblBorders>
          <w:insideH w:val="single" w:sz="8" w:space="0" w:color="auto"/>
          <w:insideV w:val="single" w:sz="8" w:space="0" w:color="auto"/>
        </w:tblBorders>
        <w:tblLayout w:type="fixed"/>
        <w:tblCellMar>
          <w:left w:w="70" w:type="dxa"/>
          <w:right w:w="70" w:type="dxa"/>
        </w:tblCellMar>
        <w:tblLook w:val="04A0"/>
      </w:tblPr>
      <w:tblGrid>
        <w:gridCol w:w="3845"/>
        <w:gridCol w:w="960"/>
        <w:gridCol w:w="741"/>
        <w:gridCol w:w="708"/>
        <w:gridCol w:w="1134"/>
        <w:gridCol w:w="851"/>
        <w:gridCol w:w="709"/>
      </w:tblGrid>
      <w:tr w:rsidR="007D1C4A" w:rsidRPr="007D1C4A" w:rsidTr="007D1C4A">
        <w:trPr>
          <w:trHeight w:val="227"/>
        </w:trPr>
        <w:tc>
          <w:tcPr>
            <w:tcW w:w="3845" w:type="dxa"/>
            <w:vMerge w:val="restart"/>
            <w:shd w:val="clear" w:color="000000" w:fill="FAC090"/>
            <w:vAlign w:val="center"/>
            <w:hideMark/>
          </w:tcPr>
          <w:p w:rsidR="007D1C4A" w:rsidRPr="007D1C4A" w:rsidRDefault="007D1C4A" w:rsidP="007D1C4A">
            <w:pPr>
              <w:pStyle w:val="Nzev"/>
              <w:jc w:val="left"/>
              <w:rPr>
                <w:szCs w:val="20"/>
              </w:rPr>
            </w:pPr>
          </w:p>
        </w:tc>
        <w:tc>
          <w:tcPr>
            <w:tcW w:w="2409" w:type="dxa"/>
            <w:gridSpan w:val="3"/>
            <w:shd w:val="clear" w:color="000000" w:fill="FAC090"/>
            <w:noWrap/>
            <w:vAlign w:val="bottom"/>
            <w:hideMark/>
          </w:tcPr>
          <w:p w:rsidR="007D1C4A" w:rsidRPr="007D1C4A" w:rsidRDefault="007D1C4A" w:rsidP="007D1C4A">
            <w:pPr>
              <w:pStyle w:val="Nzev"/>
              <w:jc w:val="center"/>
              <w:rPr>
                <w:szCs w:val="20"/>
              </w:rPr>
            </w:pPr>
            <w:r w:rsidRPr="007D1C4A">
              <w:rPr>
                <w:szCs w:val="22"/>
              </w:rPr>
              <w:t>Pořadí podle potřeb škol</w:t>
            </w:r>
          </w:p>
        </w:tc>
        <w:tc>
          <w:tcPr>
            <w:tcW w:w="2694" w:type="dxa"/>
            <w:gridSpan w:val="3"/>
            <w:shd w:val="clear" w:color="000000" w:fill="FAC090"/>
            <w:vAlign w:val="bottom"/>
            <w:hideMark/>
          </w:tcPr>
          <w:p w:rsidR="007D1C4A" w:rsidRPr="007D1C4A" w:rsidRDefault="007D1C4A" w:rsidP="007D1C4A">
            <w:pPr>
              <w:pStyle w:val="Nzev"/>
              <w:jc w:val="center"/>
              <w:rPr>
                <w:szCs w:val="20"/>
              </w:rPr>
            </w:pPr>
            <w:r w:rsidRPr="007D1C4A">
              <w:rPr>
                <w:szCs w:val="22"/>
              </w:rPr>
              <w:t>Průměrné hodnocení aktuálního stavu</w:t>
            </w:r>
          </w:p>
        </w:tc>
      </w:tr>
      <w:tr w:rsidR="007D1C4A" w:rsidRPr="007D1C4A" w:rsidTr="008D2FB2">
        <w:trPr>
          <w:trHeight w:val="227"/>
        </w:trPr>
        <w:tc>
          <w:tcPr>
            <w:tcW w:w="3845" w:type="dxa"/>
            <w:vMerge/>
            <w:vAlign w:val="center"/>
            <w:hideMark/>
          </w:tcPr>
          <w:p w:rsidR="007D1C4A" w:rsidRPr="007D1C4A" w:rsidRDefault="007D1C4A" w:rsidP="007D1C4A">
            <w:pPr>
              <w:pStyle w:val="Nzev"/>
              <w:jc w:val="left"/>
              <w:rPr>
                <w:szCs w:val="20"/>
              </w:rPr>
            </w:pPr>
          </w:p>
        </w:tc>
        <w:tc>
          <w:tcPr>
            <w:tcW w:w="960" w:type="dxa"/>
            <w:shd w:val="clear" w:color="000000" w:fill="FAC090"/>
            <w:vAlign w:val="center"/>
            <w:hideMark/>
          </w:tcPr>
          <w:p w:rsidR="007D1C4A" w:rsidRPr="007D1C4A" w:rsidRDefault="007D1C4A" w:rsidP="007D1C4A">
            <w:pPr>
              <w:pStyle w:val="Nzev"/>
              <w:jc w:val="center"/>
              <w:rPr>
                <w:szCs w:val="20"/>
              </w:rPr>
            </w:pPr>
            <w:r>
              <w:rPr>
                <w:szCs w:val="20"/>
              </w:rPr>
              <w:t>SO</w:t>
            </w:r>
            <w:r w:rsidRPr="007D1C4A">
              <w:rPr>
                <w:szCs w:val="20"/>
              </w:rPr>
              <w:t xml:space="preserve"> ORP</w:t>
            </w:r>
          </w:p>
        </w:tc>
        <w:tc>
          <w:tcPr>
            <w:tcW w:w="741" w:type="dxa"/>
            <w:shd w:val="clear" w:color="000000" w:fill="FAC090"/>
            <w:vAlign w:val="center"/>
            <w:hideMark/>
          </w:tcPr>
          <w:p w:rsidR="007D1C4A" w:rsidRPr="007D1C4A" w:rsidRDefault="007D1C4A" w:rsidP="007D1C4A">
            <w:pPr>
              <w:pStyle w:val="Nzev"/>
              <w:jc w:val="center"/>
              <w:rPr>
                <w:szCs w:val="20"/>
              </w:rPr>
            </w:pPr>
            <w:r w:rsidRPr="007D1C4A">
              <w:rPr>
                <w:szCs w:val="20"/>
              </w:rPr>
              <w:t>kraj</w:t>
            </w:r>
          </w:p>
        </w:tc>
        <w:tc>
          <w:tcPr>
            <w:tcW w:w="708" w:type="dxa"/>
            <w:shd w:val="clear" w:color="000000" w:fill="FAC090"/>
            <w:vAlign w:val="center"/>
            <w:hideMark/>
          </w:tcPr>
          <w:p w:rsidR="007D1C4A" w:rsidRPr="007D1C4A" w:rsidRDefault="007D1C4A" w:rsidP="007D1C4A">
            <w:pPr>
              <w:pStyle w:val="Nzev"/>
              <w:jc w:val="center"/>
              <w:rPr>
                <w:szCs w:val="20"/>
              </w:rPr>
            </w:pPr>
            <w:r w:rsidRPr="007D1C4A">
              <w:rPr>
                <w:szCs w:val="20"/>
              </w:rPr>
              <w:t>ČR</w:t>
            </w:r>
          </w:p>
        </w:tc>
        <w:tc>
          <w:tcPr>
            <w:tcW w:w="1134" w:type="dxa"/>
            <w:tcBorders>
              <w:bottom w:val="single" w:sz="8" w:space="0" w:color="auto"/>
            </w:tcBorders>
            <w:shd w:val="clear" w:color="000000" w:fill="FAC090"/>
            <w:vAlign w:val="center"/>
            <w:hideMark/>
          </w:tcPr>
          <w:p w:rsidR="007D1C4A" w:rsidRPr="007D1C4A" w:rsidRDefault="007D1C4A" w:rsidP="007D1C4A">
            <w:pPr>
              <w:pStyle w:val="Nzev"/>
              <w:jc w:val="center"/>
              <w:rPr>
                <w:szCs w:val="20"/>
              </w:rPr>
            </w:pPr>
            <w:r>
              <w:rPr>
                <w:szCs w:val="20"/>
              </w:rPr>
              <w:t>SO</w:t>
            </w:r>
            <w:r w:rsidRPr="007D1C4A">
              <w:rPr>
                <w:szCs w:val="20"/>
              </w:rPr>
              <w:t xml:space="preserve"> ORP</w:t>
            </w:r>
          </w:p>
        </w:tc>
        <w:tc>
          <w:tcPr>
            <w:tcW w:w="851" w:type="dxa"/>
            <w:tcBorders>
              <w:bottom w:val="single" w:sz="8" w:space="0" w:color="auto"/>
            </w:tcBorders>
            <w:shd w:val="clear" w:color="000000" w:fill="FAC090"/>
            <w:vAlign w:val="center"/>
            <w:hideMark/>
          </w:tcPr>
          <w:p w:rsidR="007D1C4A" w:rsidRPr="007D1C4A" w:rsidRDefault="007D1C4A" w:rsidP="007D1C4A">
            <w:pPr>
              <w:pStyle w:val="Nzev"/>
              <w:jc w:val="center"/>
              <w:rPr>
                <w:szCs w:val="20"/>
              </w:rPr>
            </w:pPr>
            <w:r w:rsidRPr="007D1C4A">
              <w:rPr>
                <w:szCs w:val="20"/>
              </w:rPr>
              <w:t>kraj</w:t>
            </w:r>
          </w:p>
        </w:tc>
        <w:tc>
          <w:tcPr>
            <w:tcW w:w="709" w:type="dxa"/>
            <w:tcBorders>
              <w:bottom w:val="single" w:sz="8" w:space="0" w:color="auto"/>
            </w:tcBorders>
            <w:shd w:val="clear" w:color="000000" w:fill="FAC090"/>
            <w:vAlign w:val="center"/>
            <w:hideMark/>
          </w:tcPr>
          <w:p w:rsidR="007D1C4A" w:rsidRPr="007D1C4A" w:rsidRDefault="007D1C4A" w:rsidP="007D1C4A">
            <w:pPr>
              <w:pStyle w:val="Nzev"/>
              <w:jc w:val="center"/>
              <w:rPr>
                <w:szCs w:val="20"/>
              </w:rPr>
            </w:pPr>
            <w:r w:rsidRPr="007D1C4A">
              <w:rPr>
                <w:szCs w:val="20"/>
              </w:rPr>
              <w:t>ČR</w:t>
            </w:r>
          </w:p>
        </w:tc>
      </w:tr>
      <w:tr w:rsidR="007D1C4A" w:rsidRPr="007D1C4A" w:rsidTr="008D2FB2">
        <w:trPr>
          <w:trHeight w:val="227"/>
        </w:trPr>
        <w:tc>
          <w:tcPr>
            <w:tcW w:w="3845" w:type="dxa"/>
            <w:shd w:val="clear" w:color="auto" w:fill="auto"/>
            <w:vAlign w:val="center"/>
            <w:hideMark/>
          </w:tcPr>
          <w:p w:rsidR="007D1C4A" w:rsidRPr="007D1C4A" w:rsidRDefault="007D1C4A" w:rsidP="007D1C4A">
            <w:pPr>
              <w:pStyle w:val="Nzev"/>
              <w:jc w:val="left"/>
              <w:rPr>
                <w:szCs w:val="20"/>
              </w:rPr>
            </w:pPr>
            <w:r w:rsidRPr="007D1C4A">
              <w:rPr>
                <w:szCs w:val="20"/>
              </w:rPr>
              <w:t xml:space="preserve">Jazykové vzdělávání </w:t>
            </w:r>
          </w:p>
        </w:tc>
        <w:tc>
          <w:tcPr>
            <w:tcW w:w="960" w:type="dxa"/>
            <w:shd w:val="clear" w:color="000000" w:fill="FFFFFF"/>
            <w:vAlign w:val="center"/>
            <w:hideMark/>
          </w:tcPr>
          <w:p w:rsidR="007D1C4A" w:rsidRPr="007D1C4A" w:rsidRDefault="007D1C4A" w:rsidP="007D1C4A">
            <w:pPr>
              <w:pStyle w:val="Nzev"/>
              <w:jc w:val="center"/>
              <w:rPr>
                <w:szCs w:val="20"/>
              </w:rPr>
            </w:pPr>
            <w:r w:rsidRPr="007D1C4A">
              <w:rPr>
                <w:szCs w:val="20"/>
              </w:rPr>
              <w:t>1</w:t>
            </w:r>
          </w:p>
        </w:tc>
        <w:tc>
          <w:tcPr>
            <w:tcW w:w="741" w:type="dxa"/>
            <w:shd w:val="clear" w:color="000000" w:fill="FFFFFF"/>
            <w:vAlign w:val="center"/>
            <w:hideMark/>
          </w:tcPr>
          <w:p w:rsidR="007D1C4A" w:rsidRPr="007D1C4A" w:rsidRDefault="007D1C4A" w:rsidP="007D1C4A">
            <w:pPr>
              <w:pStyle w:val="Nzev"/>
              <w:jc w:val="center"/>
              <w:rPr>
                <w:szCs w:val="20"/>
              </w:rPr>
            </w:pPr>
            <w:r w:rsidRPr="007D1C4A">
              <w:rPr>
                <w:szCs w:val="20"/>
              </w:rPr>
              <w:t>2</w:t>
            </w:r>
          </w:p>
        </w:tc>
        <w:tc>
          <w:tcPr>
            <w:tcW w:w="708" w:type="dxa"/>
            <w:shd w:val="clear" w:color="000000" w:fill="FFFFFF"/>
            <w:vAlign w:val="center"/>
            <w:hideMark/>
          </w:tcPr>
          <w:p w:rsidR="007D1C4A" w:rsidRPr="007D1C4A" w:rsidRDefault="007D1C4A" w:rsidP="007D1C4A">
            <w:pPr>
              <w:pStyle w:val="Nzev"/>
              <w:jc w:val="center"/>
              <w:rPr>
                <w:szCs w:val="20"/>
              </w:rPr>
            </w:pPr>
            <w:r w:rsidRPr="007D1C4A">
              <w:rPr>
                <w:szCs w:val="20"/>
              </w:rPr>
              <w:t>2</w:t>
            </w:r>
          </w:p>
        </w:tc>
        <w:tc>
          <w:tcPr>
            <w:tcW w:w="1134" w:type="dxa"/>
            <w:tcBorders>
              <w:top w:val="single" w:sz="8" w:space="0" w:color="auto"/>
              <w:bottom w:val="single" w:sz="8" w:space="0" w:color="auto"/>
              <w:tl2br w:val="single" w:sz="8" w:space="0" w:color="auto"/>
              <w:tr2bl w:val="single" w:sz="8" w:space="0" w:color="auto"/>
            </w:tcBorders>
            <w:shd w:val="clear" w:color="000000" w:fill="FFFFFF"/>
            <w:vAlign w:val="center"/>
            <w:hideMark/>
          </w:tcPr>
          <w:p w:rsidR="007D1C4A" w:rsidRPr="007D1C4A" w:rsidRDefault="007D1C4A" w:rsidP="007D1C4A">
            <w:pPr>
              <w:pStyle w:val="Nzev"/>
              <w:jc w:val="center"/>
              <w:rPr>
                <w:szCs w:val="20"/>
              </w:rPr>
            </w:pPr>
          </w:p>
        </w:tc>
        <w:tc>
          <w:tcPr>
            <w:tcW w:w="851" w:type="dxa"/>
            <w:tcBorders>
              <w:top w:val="single" w:sz="8" w:space="0" w:color="auto"/>
              <w:bottom w:val="single" w:sz="8" w:space="0" w:color="auto"/>
              <w:tl2br w:val="single" w:sz="8" w:space="0" w:color="auto"/>
              <w:tr2bl w:val="single" w:sz="8" w:space="0" w:color="auto"/>
            </w:tcBorders>
            <w:shd w:val="clear" w:color="000000" w:fill="FFFFFF"/>
            <w:vAlign w:val="center"/>
            <w:hideMark/>
          </w:tcPr>
          <w:p w:rsidR="007D1C4A" w:rsidRPr="007D1C4A" w:rsidRDefault="007D1C4A" w:rsidP="007D1C4A">
            <w:pPr>
              <w:pStyle w:val="Nzev"/>
              <w:jc w:val="center"/>
              <w:rPr>
                <w:szCs w:val="20"/>
              </w:rPr>
            </w:pPr>
          </w:p>
        </w:tc>
        <w:tc>
          <w:tcPr>
            <w:tcW w:w="709" w:type="dxa"/>
            <w:tcBorders>
              <w:top w:val="single" w:sz="8" w:space="0" w:color="auto"/>
              <w:bottom w:val="single" w:sz="8" w:space="0" w:color="auto"/>
              <w:tl2br w:val="single" w:sz="8" w:space="0" w:color="auto"/>
              <w:tr2bl w:val="single" w:sz="8" w:space="0" w:color="auto"/>
            </w:tcBorders>
            <w:shd w:val="clear" w:color="000000" w:fill="FFFFFF"/>
            <w:vAlign w:val="center"/>
            <w:hideMark/>
          </w:tcPr>
          <w:p w:rsidR="007D1C4A" w:rsidRPr="007D1C4A" w:rsidRDefault="007D1C4A" w:rsidP="007D1C4A">
            <w:pPr>
              <w:pStyle w:val="Nzev"/>
              <w:jc w:val="center"/>
              <w:rPr>
                <w:szCs w:val="20"/>
              </w:rPr>
            </w:pPr>
          </w:p>
        </w:tc>
      </w:tr>
      <w:tr w:rsidR="007D1C4A" w:rsidRPr="007D1C4A" w:rsidTr="008D2FB2">
        <w:trPr>
          <w:trHeight w:val="227"/>
        </w:trPr>
        <w:tc>
          <w:tcPr>
            <w:tcW w:w="3845" w:type="dxa"/>
            <w:shd w:val="clear" w:color="auto" w:fill="auto"/>
            <w:vAlign w:val="center"/>
            <w:hideMark/>
          </w:tcPr>
          <w:p w:rsidR="007D1C4A" w:rsidRPr="007D1C4A" w:rsidRDefault="007D1C4A" w:rsidP="007D1C4A">
            <w:pPr>
              <w:pStyle w:val="Nzev"/>
              <w:jc w:val="left"/>
              <w:rPr>
                <w:szCs w:val="20"/>
              </w:rPr>
            </w:pPr>
            <w:r w:rsidRPr="007D1C4A">
              <w:rPr>
                <w:szCs w:val="20"/>
              </w:rPr>
              <w:t>ICT včetně potřeb infrastruktury (podpora digitálních kompetencí, konektivita škol)</w:t>
            </w:r>
          </w:p>
        </w:tc>
        <w:tc>
          <w:tcPr>
            <w:tcW w:w="960" w:type="dxa"/>
            <w:shd w:val="clear" w:color="000000" w:fill="FFFFFF"/>
            <w:vAlign w:val="center"/>
            <w:hideMark/>
          </w:tcPr>
          <w:p w:rsidR="007D1C4A" w:rsidRPr="007D1C4A" w:rsidRDefault="007D1C4A" w:rsidP="007D1C4A">
            <w:pPr>
              <w:pStyle w:val="Nzev"/>
              <w:jc w:val="center"/>
              <w:rPr>
                <w:szCs w:val="20"/>
              </w:rPr>
            </w:pPr>
            <w:r w:rsidRPr="007D1C4A">
              <w:rPr>
                <w:szCs w:val="20"/>
              </w:rPr>
              <w:t>2</w:t>
            </w:r>
          </w:p>
        </w:tc>
        <w:tc>
          <w:tcPr>
            <w:tcW w:w="741" w:type="dxa"/>
            <w:shd w:val="clear" w:color="000000" w:fill="FFFFFF"/>
            <w:vAlign w:val="center"/>
            <w:hideMark/>
          </w:tcPr>
          <w:p w:rsidR="007D1C4A" w:rsidRPr="007D1C4A" w:rsidRDefault="007D1C4A" w:rsidP="007D1C4A">
            <w:pPr>
              <w:pStyle w:val="Nzev"/>
              <w:jc w:val="center"/>
              <w:rPr>
                <w:szCs w:val="20"/>
              </w:rPr>
            </w:pPr>
            <w:r w:rsidRPr="007D1C4A">
              <w:rPr>
                <w:szCs w:val="20"/>
              </w:rPr>
              <w:t>1</w:t>
            </w:r>
          </w:p>
        </w:tc>
        <w:tc>
          <w:tcPr>
            <w:tcW w:w="708" w:type="dxa"/>
            <w:shd w:val="clear" w:color="000000" w:fill="FFFFFF"/>
            <w:vAlign w:val="center"/>
            <w:hideMark/>
          </w:tcPr>
          <w:p w:rsidR="007D1C4A" w:rsidRPr="007D1C4A" w:rsidRDefault="007D1C4A" w:rsidP="007D1C4A">
            <w:pPr>
              <w:pStyle w:val="Nzev"/>
              <w:jc w:val="center"/>
              <w:rPr>
                <w:szCs w:val="20"/>
              </w:rPr>
            </w:pPr>
            <w:r w:rsidRPr="007D1C4A">
              <w:rPr>
                <w:szCs w:val="20"/>
              </w:rPr>
              <w:t>1</w:t>
            </w:r>
          </w:p>
        </w:tc>
        <w:tc>
          <w:tcPr>
            <w:tcW w:w="1134" w:type="dxa"/>
            <w:tcBorders>
              <w:top w:val="single" w:sz="8" w:space="0" w:color="auto"/>
            </w:tcBorders>
            <w:shd w:val="clear" w:color="000000" w:fill="FFFFFF"/>
            <w:vAlign w:val="center"/>
            <w:hideMark/>
          </w:tcPr>
          <w:p w:rsidR="007D1C4A" w:rsidRPr="007D1C4A" w:rsidRDefault="007D1C4A" w:rsidP="007D1C4A">
            <w:pPr>
              <w:pStyle w:val="Nzev"/>
              <w:jc w:val="center"/>
              <w:rPr>
                <w:szCs w:val="20"/>
              </w:rPr>
            </w:pPr>
            <w:r w:rsidRPr="007D1C4A">
              <w:rPr>
                <w:szCs w:val="20"/>
              </w:rPr>
              <w:t>2,97</w:t>
            </w:r>
          </w:p>
        </w:tc>
        <w:tc>
          <w:tcPr>
            <w:tcW w:w="851" w:type="dxa"/>
            <w:tcBorders>
              <w:top w:val="single" w:sz="8" w:space="0" w:color="auto"/>
            </w:tcBorders>
            <w:shd w:val="clear" w:color="000000" w:fill="FFFFFF"/>
            <w:vAlign w:val="center"/>
            <w:hideMark/>
          </w:tcPr>
          <w:p w:rsidR="007D1C4A" w:rsidRPr="007D1C4A" w:rsidRDefault="007D1C4A" w:rsidP="007D1C4A">
            <w:pPr>
              <w:pStyle w:val="Nzev"/>
              <w:jc w:val="center"/>
              <w:rPr>
                <w:szCs w:val="20"/>
              </w:rPr>
            </w:pPr>
            <w:r w:rsidRPr="007D1C4A">
              <w:rPr>
                <w:szCs w:val="20"/>
              </w:rPr>
              <w:t>2,89</w:t>
            </w:r>
          </w:p>
        </w:tc>
        <w:tc>
          <w:tcPr>
            <w:tcW w:w="709" w:type="dxa"/>
            <w:tcBorders>
              <w:top w:val="single" w:sz="8" w:space="0" w:color="auto"/>
            </w:tcBorders>
            <w:shd w:val="clear" w:color="000000" w:fill="FFFFFF"/>
            <w:vAlign w:val="center"/>
            <w:hideMark/>
          </w:tcPr>
          <w:p w:rsidR="007D1C4A" w:rsidRPr="007D1C4A" w:rsidRDefault="007D1C4A" w:rsidP="007D1C4A">
            <w:pPr>
              <w:pStyle w:val="Nzev"/>
              <w:jc w:val="center"/>
              <w:rPr>
                <w:szCs w:val="20"/>
              </w:rPr>
            </w:pPr>
            <w:r w:rsidRPr="007D1C4A">
              <w:rPr>
                <w:szCs w:val="20"/>
              </w:rPr>
              <w:t>2,89</w:t>
            </w:r>
          </w:p>
        </w:tc>
      </w:tr>
      <w:tr w:rsidR="007D1C4A" w:rsidRPr="007D1C4A" w:rsidTr="008D2FB2">
        <w:trPr>
          <w:trHeight w:val="227"/>
        </w:trPr>
        <w:tc>
          <w:tcPr>
            <w:tcW w:w="3845" w:type="dxa"/>
            <w:shd w:val="clear" w:color="auto" w:fill="auto"/>
            <w:vAlign w:val="center"/>
            <w:hideMark/>
          </w:tcPr>
          <w:p w:rsidR="007D1C4A" w:rsidRPr="007D1C4A" w:rsidRDefault="007D1C4A" w:rsidP="007D1C4A">
            <w:pPr>
              <w:pStyle w:val="Nzev"/>
              <w:jc w:val="left"/>
              <w:rPr>
                <w:szCs w:val="20"/>
              </w:rPr>
            </w:pPr>
            <w:r w:rsidRPr="007D1C4A">
              <w:rPr>
                <w:szCs w:val="20"/>
              </w:rPr>
              <w:t xml:space="preserve">Sociální a občanské dovednosti a další klíčové kompetence </w:t>
            </w:r>
          </w:p>
        </w:tc>
        <w:tc>
          <w:tcPr>
            <w:tcW w:w="960" w:type="dxa"/>
            <w:shd w:val="clear" w:color="000000" w:fill="FFFFFF"/>
            <w:vAlign w:val="center"/>
            <w:hideMark/>
          </w:tcPr>
          <w:p w:rsidR="007D1C4A" w:rsidRPr="007D1C4A" w:rsidRDefault="007D1C4A" w:rsidP="007D1C4A">
            <w:pPr>
              <w:pStyle w:val="Nzev"/>
              <w:jc w:val="center"/>
              <w:rPr>
                <w:szCs w:val="20"/>
              </w:rPr>
            </w:pPr>
            <w:r w:rsidRPr="007D1C4A">
              <w:rPr>
                <w:szCs w:val="20"/>
              </w:rPr>
              <w:t>3</w:t>
            </w:r>
          </w:p>
        </w:tc>
        <w:tc>
          <w:tcPr>
            <w:tcW w:w="741" w:type="dxa"/>
            <w:shd w:val="clear" w:color="000000" w:fill="FFFFFF"/>
            <w:vAlign w:val="center"/>
            <w:hideMark/>
          </w:tcPr>
          <w:p w:rsidR="007D1C4A" w:rsidRPr="007D1C4A" w:rsidRDefault="007D1C4A" w:rsidP="007D1C4A">
            <w:pPr>
              <w:pStyle w:val="Nzev"/>
              <w:jc w:val="center"/>
              <w:rPr>
                <w:szCs w:val="20"/>
              </w:rPr>
            </w:pPr>
            <w:r w:rsidRPr="007D1C4A">
              <w:rPr>
                <w:szCs w:val="20"/>
              </w:rPr>
              <w:t>3</w:t>
            </w:r>
          </w:p>
        </w:tc>
        <w:tc>
          <w:tcPr>
            <w:tcW w:w="708" w:type="dxa"/>
            <w:shd w:val="clear" w:color="000000" w:fill="FFFFFF"/>
            <w:vAlign w:val="center"/>
            <w:hideMark/>
          </w:tcPr>
          <w:p w:rsidR="007D1C4A" w:rsidRPr="007D1C4A" w:rsidRDefault="007D1C4A" w:rsidP="007D1C4A">
            <w:pPr>
              <w:pStyle w:val="Nzev"/>
              <w:jc w:val="center"/>
              <w:rPr>
                <w:szCs w:val="20"/>
              </w:rPr>
            </w:pPr>
            <w:r w:rsidRPr="007D1C4A">
              <w:rPr>
                <w:szCs w:val="20"/>
              </w:rPr>
              <w:t>3</w:t>
            </w:r>
          </w:p>
        </w:tc>
        <w:tc>
          <w:tcPr>
            <w:tcW w:w="1134" w:type="dxa"/>
            <w:shd w:val="clear" w:color="auto" w:fill="auto"/>
            <w:vAlign w:val="center"/>
            <w:hideMark/>
          </w:tcPr>
          <w:p w:rsidR="007D1C4A" w:rsidRPr="007D1C4A" w:rsidRDefault="007D1C4A" w:rsidP="007D1C4A">
            <w:pPr>
              <w:pStyle w:val="Nzev"/>
              <w:jc w:val="center"/>
              <w:rPr>
                <w:szCs w:val="20"/>
              </w:rPr>
            </w:pPr>
            <w:r w:rsidRPr="007D1C4A">
              <w:rPr>
                <w:szCs w:val="20"/>
              </w:rPr>
              <w:t>2,99</w:t>
            </w:r>
          </w:p>
        </w:tc>
        <w:tc>
          <w:tcPr>
            <w:tcW w:w="851" w:type="dxa"/>
            <w:shd w:val="clear" w:color="000000" w:fill="FFFFFF"/>
            <w:vAlign w:val="center"/>
            <w:hideMark/>
          </w:tcPr>
          <w:p w:rsidR="007D1C4A" w:rsidRPr="007D1C4A" w:rsidRDefault="007D1C4A" w:rsidP="007D1C4A">
            <w:pPr>
              <w:pStyle w:val="Nzev"/>
              <w:jc w:val="center"/>
              <w:rPr>
                <w:szCs w:val="20"/>
              </w:rPr>
            </w:pPr>
            <w:r w:rsidRPr="007D1C4A">
              <w:rPr>
                <w:szCs w:val="20"/>
              </w:rPr>
              <w:t>3,04</w:t>
            </w:r>
          </w:p>
        </w:tc>
        <w:tc>
          <w:tcPr>
            <w:tcW w:w="709" w:type="dxa"/>
            <w:shd w:val="clear" w:color="000000" w:fill="FFFFFF"/>
            <w:vAlign w:val="center"/>
            <w:hideMark/>
          </w:tcPr>
          <w:p w:rsidR="007D1C4A" w:rsidRPr="007D1C4A" w:rsidRDefault="007D1C4A" w:rsidP="007D1C4A">
            <w:pPr>
              <w:pStyle w:val="Nzev"/>
              <w:jc w:val="center"/>
              <w:rPr>
                <w:szCs w:val="20"/>
              </w:rPr>
            </w:pPr>
            <w:r w:rsidRPr="007D1C4A">
              <w:rPr>
                <w:szCs w:val="20"/>
              </w:rPr>
              <w:t>3,04</w:t>
            </w:r>
          </w:p>
        </w:tc>
      </w:tr>
    </w:tbl>
    <w:p w:rsidR="002D0559" w:rsidRPr="00D50F80" w:rsidRDefault="002D0559" w:rsidP="002D0559">
      <w:pPr>
        <w:pStyle w:val="Nadpis4"/>
      </w:pPr>
      <w:bookmarkStart w:id="17" w:name="_Toc465592565"/>
      <w:r w:rsidRPr="00D50F80">
        <w:t>Detailnější rozbor jednotlivých oblastí rozvoje</w:t>
      </w:r>
      <w:bookmarkEnd w:id="17"/>
    </w:p>
    <w:p w:rsidR="00E6133C" w:rsidRPr="00D50F80" w:rsidRDefault="00E6133C" w:rsidP="00E6133C">
      <w:pPr>
        <w:pStyle w:val="Bezmezer"/>
      </w:pPr>
      <w:r w:rsidRPr="00D50F80">
        <w:t>V </w:t>
      </w:r>
      <w:r w:rsidRPr="00291A1F">
        <w:t xml:space="preserve">následujících </w:t>
      </w:r>
      <w:r w:rsidR="00D50F80" w:rsidRPr="00291A1F">
        <w:t>osmi</w:t>
      </w:r>
      <w:r w:rsidRPr="00291A1F">
        <w:t xml:space="preserve"> podkapitolách budou</w:t>
      </w:r>
      <w:r w:rsidRPr="00D50F80">
        <w:t xml:space="preserve"> podrobněji rozepsány jednotlivé oblasti rozvoje tak, jak je konkrétně hodnotily </w:t>
      </w:r>
      <w:r w:rsidR="00D50F80">
        <w:t>MŠ</w:t>
      </w:r>
      <w:r w:rsidRPr="00D50F80">
        <w:t>. Hodnocení každé oblasti mělo obdobnou formu, proto ji popíšeme na začátku pro všechny nadcházející případy.</w:t>
      </w:r>
    </w:p>
    <w:p w:rsidR="00E6133C" w:rsidRPr="00D50F80" w:rsidRDefault="00E6133C" w:rsidP="00E6133C">
      <w:pPr>
        <w:pStyle w:val="Bezmezer"/>
      </w:pPr>
      <w:r w:rsidRPr="00D50F80">
        <w:t xml:space="preserve">Stejně jako v předchozích tabulkách, i zde tvoří </w:t>
      </w:r>
      <w:r w:rsidRPr="00D50F80">
        <w:rPr>
          <w:b/>
        </w:rPr>
        <w:t>první sloupec samotné téma/ situaci</w:t>
      </w:r>
      <w:r w:rsidRPr="00D50F80">
        <w:t xml:space="preserve">, ke kterému se jednotlivé </w:t>
      </w:r>
      <w:r w:rsidR="00D50F80" w:rsidRPr="00D50F80">
        <w:t>MŠ</w:t>
      </w:r>
      <w:r w:rsidRPr="00D50F80">
        <w:t xml:space="preserve"> vyjadřovaly, </w:t>
      </w:r>
      <w:r w:rsidRPr="00D50F80">
        <w:rPr>
          <w:b/>
        </w:rPr>
        <w:t>další dva sloupce vyjadřují míru priority daného tématu</w:t>
      </w:r>
      <w:r w:rsidRPr="00D50F80">
        <w:t xml:space="preserve"> v daném období (jedná se o vyjádření podílem, tedy procentuální zastoupení </w:t>
      </w:r>
      <w:r w:rsidR="00D50F80" w:rsidRPr="00D50F80">
        <w:t>MŠ</w:t>
      </w:r>
      <w:r w:rsidRPr="00D50F80">
        <w:t xml:space="preserve"> z celkového počtu, které plánují v daném tématu zlepšení</w:t>
      </w:r>
      <w:r w:rsidR="009E5FF1">
        <w:t xml:space="preserve"> – 100 % = všechny MŠ, které se zúčastnily dotazníkového šetření</w:t>
      </w:r>
      <w:r w:rsidRPr="00D50F80">
        <w:t xml:space="preserve">) a </w:t>
      </w:r>
      <w:r w:rsidRPr="00D50F80">
        <w:rPr>
          <w:b/>
        </w:rPr>
        <w:t>poslední tři sloupce zobrazují průměr hodnocení aktuálního stavu na třech administrativních úrovních</w:t>
      </w:r>
      <w:r w:rsidR="009E5FF1">
        <w:t xml:space="preserve"> (ORP, kraj, stát).</w:t>
      </w:r>
      <w:r w:rsidRPr="00D50F80">
        <w:t xml:space="preserve"> </w:t>
      </w:r>
      <w:r w:rsidR="009E5FF1">
        <w:t xml:space="preserve">Pracuje se opět </w:t>
      </w:r>
      <w:r w:rsidRPr="00D50F80">
        <w:t>se škálou od jedné do čtyř, kdy hodnota 1 znamená „vůbec se neuplatňuje, tzn. maximálně stádium prvotních úvah“ a hodnota 4 naopak „ideální stav, tzn. vytvořené podmínky, funkční systém“.</w:t>
      </w:r>
    </w:p>
    <w:p w:rsidR="00E6133C" w:rsidRPr="001A4EA6" w:rsidRDefault="00E6133C" w:rsidP="00E6133C">
      <w:pPr>
        <w:pStyle w:val="Bezmezer"/>
      </w:pPr>
      <w:r w:rsidRPr="001A4EA6">
        <w:rPr>
          <w:b/>
        </w:rPr>
        <w:t>Zeleně</w:t>
      </w:r>
      <w:r w:rsidRPr="001A4EA6">
        <w:t xml:space="preserve"> jsou v případě druhého a třetího sloupce zvýrazněny </w:t>
      </w:r>
      <w:r w:rsidRPr="001A4EA6">
        <w:rPr>
          <w:b/>
        </w:rPr>
        <w:t>nejvyšší hodnoty</w:t>
      </w:r>
      <w:r w:rsidRPr="001A4EA6">
        <w:t xml:space="preserve">, tedy položky, které školy plánují nejčastěji zlepšovat. </w:t>
      </w:r>
      <w:r w:rsidRPr="001A4EA6">
        <w:rPr>
          <w:b/>
        </w:rPr>
        <w:t>Červeně</w:t>
      </w:r>
      <w:r w:rsidRPr="001A4EA6">
        <w:t xml:space="preserve"> pak hodnoty za SO ORP </w:t>
      </w:r>
      <w:r w:rsidR="00AE577C">
        <w:t xml:space="preserve">Kutná Hora </w:t>
      </w:r>
      <w:r w:rsidRPr="001A4EA6">
        <w:t xml:space="preserve">ve sloupci čtvrtém, které jsou </w:t>
      </w:r>
      <w:r w:rsidRPr="001A4EA6">
        <w:rPr>
          <w:b/>
        </w:rPr>
        <w:t>nižší než celorepublikový průměr</w:t>
      </w:r>
      <w:r w:rsidRPr="001A4EA6">
        <w:t>.</w:t>
      </w:r>
    </w:p>
    <w:p w:rsidR="00E6133C" w:rsidRPr="001D3C97" w:rsidRDefault="00E6133C" w:rsidP="00E6133C">
      <w:pPr>
        <w:pStyle w:val="Bezmezer"/>
      </w:pPr>
      <w:r w:rsidRPr="001D3C97">
        <w:t xml:space="preserve">Generálně by měla platit korelace (zejména v prioritních oblastech), že nízká procentuální hodnota v obou daných obdobích (2016 – 2018 a 2019 – 2020) vyvolá vysokou hodnotu ve sloupci „SO ORP“ a opačně. Jinými slovy pokud </w:t>
      </w:r>
      <w:r w:rsidR="001D3C97">
        <w:t>MŠ</w:t>
      </w:r>
      <w:r w:rsidRPr="001D3C97">
        <w:t xml:space="preserve"> necítí potřebu v následujících čtyřech </w:t>
      </w:r>
      <w:r w:rsidRPr="001D3C97">
        <w:lastRenderedPageBreak/>
        <w:t xml:space="preserve">letech zlepšovat dané téma, je toto téma na dobré úrovni, což se projeví jeho vysokým ohodnocením současného stavu a opačně. Možná je samozřejmě i varianta, že úroveň tématu je nízká a školy i tak nebudou preferovat jeho řešení v nadcházejících čtyřech letech a to </w:t>
      </w:r>
      <w:r w:rsidR="001D3C97">
        <w:t xml:space="preserve">např. </w:t>
      </w:r>
      <w:r w:rsidRPr="001D3C97">
        <w:t xml:space="preserve">z toho důvodu, že nejde o téma prioritní. </w:t>
      </w:r>
    </w:p>
    <w:p w:rsidR="00E6133C" w:rsidRPr="001D3C97" w:rsidRDefault="00E6133C" w:rsidP="00E6133C">
      <w:pPr>
        <w:pStyle w:val="Bezmezer"/>
        <w:rPr>
          <w:u w:val="single"/>
        </w:rPr>
      </w:pPr>
      <w:r w:rsidRPr="001D3C97">
        <w:rPr>
          <w:u w:val="single"/>
        </w:rPr>
        <w:t>Podpora inkluzivního/ společného vzdělávání</w:t>
      </w:r>
    </w:p>
    <w:p w:rsidR="00E6133C" w:rsidRPr="00D363D4" w:rsidRDefault="00E6133C" w:rsidP="00E6133C">
      <w:pPr>
        <w:pStyle w:val="Bezmezer"/>
      </w:pPr>
      <w:r w:rsidRPr="00D363D4">
        <w:t xml:space="preserve">V rámci oblasti inkluzivního vzdělávání hodnotily </w:t>
      </w:r>
      <w:r w:rsidR="00D363D4" w:rsidRPr="00D363D4">
        <w:t>MŠ</w:t>
      </w:r>
      <w:r w:rsidRPr="00D363D4">
        <w:t xml:space="preserve"> devatenáct modelových situací, jejich prioritu v nadcházejících letech v rámci chodu školy a rovněž jejich současnou situaci. </w:t>
      </w:r>
    </w:p>
    <w:p w:rsidR="00E6133C" w:rsidRPr="00A908FE" w:rsidRDefault="00E6133C" w:rsidP="00E6133C">
      <w:pPr>
        <w:pStyle w:val="Bezmezer"/>
      </w:pPr>
      <w:r w:rsidRPr="00935911">
        <w:t xml:space="preserve">Prvním </w:t>
      </w:r>
      <w:r w:rsidR="00626397" w:rsidRPr="00935911">
        <w:t>zásadním</w:t>
      </w:r>
      <w:r w:rsidRPr="00935911">
        <w:t xml:space="preserve"> momentem, který se bude opakovat i v dalších oblastech</w:t>
      </w:r>
      <w:r w:rsidR="0038323E">
        <w:t xml:space="preserve"> (a rovněž i v celém základním školství)</w:t>
      </w:r>
      <w:r w:rsidRPr="00935911">
        <w:t xml:space="preserve">, je </w:t>
      </w:r>
      <w:r w:rsidRPr="00935911">
        <w:rPr>
          <w:b/>
        </w:rPr>
        <w:t xml:space="preserve">dominance plánů </w:t>
      </w:r>
      <w:r w:rsidR="00626397" w:rsidRPr="00935911">
        <w:rPr>
          <w:b/>
        </w:rPr>
        <w:t>MŠ</w:t>
      </w:r>
      <w:r w:rsidRPr="00935911">
        <w:rPr>
          <w:b/>
        </w:rPr>
        <w:t xml:space="preserve"> na první období, tedy roky 2016 – 2018</w:t>
      </w:r>
      <w:r w:rsidRPr="00734825">
        <w:t xml:space="preserve">. </w:t>
      </w:r>
      <w:r w:rsidR="0038323E">
        <w:t>To mají jistě na svědomí aktuální problémy</w:t>
      </w:r>
      <w:r w:rsidRPr="00734825">
        <w:t>, které je třeba řešit</w:t>
      </w:r>
      <w:r w:rsidR="0038323E">
        <w:t xml:space="preserve"> hned</w:t>
      </w:r>
      <w:r w:rsidRPr="00734825">
        <w:t xml:space="preserve">, ale roli může hrát rovněž fakt, že si </w:t>
      </w:r>
      <w:r w:rsidR="00734825" w:rsidRPr="00734825">
        <w:t>MŠ</w:t>
      </w:r>
      <w:r w:rsidRPr="00734825">
        <w:t xml:space="preserve"> byly vědomi tlaku, který tím vyvolají na instituce rozhodující o podobě dotací. </w:t>
      </w:r>
    </w:p>
    <w:p w:rsidR="00E6133C" w:rsidRPr="00A908FE" w:rsidRDefault="00E6133C" w:rsidP="00E6133C">
      <w:pPr>
        <w:pStyle w:val="Bezmezer"/>
      </w:pPr>
      <w:r w:rsidRPr="00A908FE">
        <w:t xml:space="preserve">Pokud se blíže podíváme na nejčastěji zmiňovaná témata, která by </w:t>
      </w:r>
      <w:r w:rsidR="00A908FE" w:rsidRPr="00A908FE">
        <w:t xml:space="preserve">mateřské </w:t>
      </w:r>
      <w:r w:rsidRPr="00A908FE">
        <w:t>školy v letec</w:t>
      </w:r>
      <w:r w:rsidR="00CA6387">
        <w:t>h 2016 až 2018 rády zlepšily, je to těchto šest</w:t>
      </w:r>
      <w:r w:rsidRPr="00A908FE">
        <w:t>:</w:t>
      </w:r>
    </w:p>
    <w:p w:rsidR="00C16AD2" w:rsidRDefault="00E6133C" w:rsidP="00C16AD2">
      <w:pPr>
        <w:pStyle w:val="Nzev"/>
        <w:numPr>
          <w:ilvl w:val="0"/>
          <w:numId w:val="32"/>
        </w:numPr>
        <w:rPr>
          <w:rFonts w:eastAsia="Times New Roman"/>
          <w:lang w:eastAsia="cs-CZ"/>
        </w:rPr>
      </w:pPr>
      <w:r w:rsidRPr="002036E3">
        <w:rPr>
          <w:rFonts w:eastAsia="Times New Roman"/>
          <w:lang w:eastAsia="cs-CZ"/>
        </w:rPr>
        <w:t>Škola klade důraz nejen na budování vlastního úspěchu žáka, ale i na odbourávání bariér mezi lidmi, vede k sounáležitosti se spolužáky a dalšími lidmi apod. (</w:t>
      </w:r>
      <w:r w:rsidR="002036E3" w:rsidRPr="002036E3">
        <w:rPr>
          <w:rFonts w:eastAsia="Times New Roman"/>
          <w:lang w:eastAsia="cs-CZ"/>
        </w:rPr>
        <w:t>83,3</w:t>
      </w:r>
      <w:r w:rsidRPr="002036E3">
        <w:rPr>
          <w:rFonts w:eastAsia="Times New Roman"/>
          <w:lang w:eastAsia="cs-CZ"/>
        </w:rPr>
        <w:t xml:space="preserve"> %)</w:t>
      </w:r>
    </w:p>
    <w:p w:rsidR="00C16AD2" w:rsidRDefault="00C16AD2" w:rsidP="00C16AD2">
      <w:pPr>
        <w:pStyle w:val="Nzev"/>
        <w:numPr>
          <w:ilvl w:val="0"/>
          <w:numId w:val="32"/>
        </w:numPr>
        <w:rPr>
          <w:rFonts w:eastAsia="Times New Roman"/>
          <w:lang w:eastAsia="cs-CZ"/>
        </w:rPr>
      </w:pPr>
      <w:r w:rsidRPr="00E848A9">
        <w:rPr>
          <w:rFonts w:eastAsia="Times New Roman"/>
          <w:lang w:eastAsia="cs-CZ"/>
        </w:rPr>
        <w:t>Škola dokáže přijmout ke vzdělávání všechny děti bez rozdílu (včetně dětí s odlišným kulturním prostředím, sociálním znevýhodněním, cizince, děti se SVP apod.)</w:t>
      </w:r>
      <w:r>
        <w:rPr>
          <w:rFonts w:eastAsia="Times New Roman"/>
          <w:lang w:eastAsia="cs-CZ"/>
        </w:rPr>
        <w:t xml:space="preserve"> </w:t>
      </w:r>
      <w:r w:rsidRPr="002036E3">
        <w:rPr>
          <w:rFonts w:eastAsia="Times New Roman"/>
          <w:lang w:eastAsia="cs-CZ"/>
        </w:rPr>
        <w:t>(</w:t>
      </w:r>
      <w:r>
        <w:rPr>
          <w:rFonts w:eastAsia="Times New Roman"/>
          <w:lang w:eastAsia="cs-CZ"/>
        </w:rPr>
        <w:t>66,7</w:t>
      </w:r>
      <w:r w:rsidRPr="002036E3">
        <w:rPr>
          <w:rFonts w:eastAsia="Times New Roman"/>
          <w:lang w:eastAsia="cs-CZ"/>
        </w:rPr>
        <w:t xml:space="preserve"> %</w:t>
      </w:r>
      <w:r>
        <w:rPr>
          <w:rFonts w:eastAsia="Times New Roman"/>
          <w:lang w:eastAsia="cs-CZ"/>
        </w:rPr>
        <w:t>)</w:t>
      </w:r>
    </w:p>
    <w:p w:rsidR="00C16AD2" w:rsidRDefault="00C16AD2" w:rsidP="00C16AD2">
      <w:pPr>
        <w:pStyle w:val="Nzev"/>
        <w:numPr>
          <w:ilvl w:val="0"/>
          <w:numId w:val="32"/>
        </w:numPr>
        <w:rPr>
          <w:rFonts w:eastAsia="Times New Roman"/>
          <w:lang w:eastAsia="cs-CZ"/>
        </w:rPr>
      </w:pPr>
      <w:r w:rsidRPr="00E848A9">
        <w:rPr>
          <w:rFonts w:eastAsia="Times New Roman"/>
          <w:lang w:eastAsia="cs-CZ"/>
        </w:rPr>
        <w:t>Škola umožňuje pedagogům navázat vztahy s  místními a regionálními školami různých úrovní (společné diskuze, sdílení dobré praxe, akce pro jiné školy nebo s jinými školami apod.)</w:t>
      </w:r>
      <w:r>
        <w:rPr>
          <w:rFonts w:eastAsia="Times New Roman"/>
          <w:lang w:eastAsia="cs-CZ"/>
        </w:rPr>
        <w:t xml:space="preserve"> (66,7 %)</w:t>
      </w:r>
    </w:p>
    <w:p w:rsidR="00C16AD2" w:rsidRPr="00816909" w:rsidRDefault="00C16AD2" w:rsidP="00C16AD2">
      <w:pPr>
        <w:pStyle w:val="Nzev"/>
        <w:numPr>
          <w:ilvl w:val="0"/>
          <w:numId w:val="32"/>
        </w:numPr>
        <w:rPr>
          <w:rFonts w:eastAsia="Times New Roman"/>
          <w:lang w:eastAsia="cs-CZ"/>
        </w:rPr>
      </w:pPr>
      <w:r w:rsidRPr="00E848A9">
        <w:rPr>
          <w:rFonts w:eastAsia="Times New Roman"/>
          <w:lang w:eastAsia="cs-CZ"/>
        </w:rPr>
        <w:t>Pedagogové školy jsou schopni vhodně přizpůsobit obsah vzdělávání, upravit formy a metody vzdělávání a nastavit různé úrovně obtížnosti v souladu se specifiky a </w:t>
      </w:r>
      <w:r w:rsidRPr="00816909">
        <w:rPr>
          <w:rFonts w:eastAsia="Times New Roman"/>
          <w:lang w:eastAsia="cs-CZ"/>
        </w:rPr>
        <w:t>potřebami dětí tak, aby bylo dosaženo a využito maximálních možností vzdělávaného dítěte (66,7 %)</w:t>
      </w:r>
    </w:p>
    <w:p w:rsidR="00E6133C" w:rsidRPr="002B6A35" w:rsidRDefault="00816909" w:rsidP="00E6133C">
      <w:pPr>
        <w:pStyle w:val="Nzev"/>
        <w:numPr>
          <w:ilvl w:val="0"/>
          <w:numId w:val="32"/>
        </w:numPr>
        <w:rPr>
          <w:rFonts w:eastAsia="Times New Roman"/>
          <w:lang w:eastAsia="cs-CZ"/>
        </w:rPr>
      </w:pPr>
      <w:r w:rsidRPr="00816909">
        <w:rPr>
          <w:rFonts w:eastAsia="Times New Roman"/>
          <w:lang w:eastAsia="cs-CZ"/>
        </w:rPr>
        <w:t xml:space="preserve">Pedagogové využívají v komunikaci s dítětem popisnou slovní zpětnou vazbu, vytvářejí prostor k sebehodnocení dítěte a k </w:t>
      </w:r>
      <w:r w:rsidRPr="002B6A35">
        <w:rPr>
          <w:rFonts w:eastAsia="Times New Roman"/>
          <w:lang w:eastAsia="cs-CZ"/>
        </w:rPr>
        <w:t>rozvoji jeho motivace ke vzdělávání</w:t>
      </w:r>
      <w:r w:rsidR="00E6133C" w:rsidRPr="002B6A35">
        <w:rPr>
          <w:rFonts w:eastAsia="Times New Roman"/>
          <w:lang w:eastAsia="cs-CZ"/>
        </w:rPr>
        <w:t xml:space="preserve"> (</w:t>
      </w:r>
      <w:r w:rsidRPr="002B6A35">
        <w:rPr>
          <w:rFonts w:eastAsia="Times New Roman"/>
          <w:lang w:eastAsia="cs-CZ"/>
        </w:rPr>
        <w:t>66</w:t>
      </w:r>
      <w:r w:rsidR="00E6133C" w:rsidRPr="002B6A35">
        <w:rPr>
          <w:rFonts w:eastAsia="Times New Roman"/>
          <w:lang w:eastAsia="cs-CZ"/>
        </w:rPr>
        <w:t>,</w:t>
      </w:r>
      <w:r w:rsidRPr="002B6A35">
        <w:rPr>
          <w:rFonts w:eastAsia="Times New Roman"/>
          <w:lang w:eastAsia="cs-CZ"/>
        </w:rPr>
        <w:t>7</w:t>
      </w:r>
      <w:r w:rsidR="00E6133C" w:rsidRPr="002B6A35">
        <w:rPr>
          <w:rFonts w:eastAsia="Times New Roman"/>
          <w:lang w:eastAsia="cs-CZ"/>
        </w:rPr>
        <w:t xml:space="preserve"> %)</w:t>
      </w:r>
    </w:p>
    <w:p w:rsidR="00C16AD2" w:rsidRPr="002B6A35" w:rsidRDefault="00C16AD2" w:rsidP="00C16AD2">
      <w:pPr>
        <w:pStyle w:val="Nzev"/>
        <w:numPr>
          <w:ilvl w:val="0"/>
          <w:numId w:val="32"/>
        </w:numPr>
        <w:rPr>
          <w:rFonts w:eastAsia="Times New Roman"/>
          <w:lang w:eastAsia="cs-CZ"/>
        </w:rPr>
      </w:pPr>
      <w:r w:rsidRPr="002B6A35">
        <w:rPr>
          <w:rFonts w:eastAsia="Times New Roman"/>
          <w:lang w:eastAsia="cs-CZ"/>
        </w:rPr>
        <w:t>Učitelé vnímají tvořivým způsobem rozdíly mezi žáky jako zdroj zkušeností a příležitost k vlastnímu seberozvoji (</w:t>
      </w:r>
      <w:r w:rsidR="002B6A35">
        <w:rPr>
          <w:rFonts w:eastAsia="Times New Roman"/>
          <w:lang w:eastAsia="cs-CZ"/>
        </w:rPr>
        <w:t>66</w:t>
      </w:r>
      <w:r w:rsidRPr="002B6A35">
        <w:rPr>
          <w:rFonts w:eastAsia="Times New Roman"/>
          <w:lang w:eastAsia="cs-CZ"/>
        </w:rPr>
        <w:t>,</w:t>
      </w:r>
      <w:r w:rsidR="002B6A35">
        <w:rPr>
          <w:rFonts w:eastAsia="Times New Roman"/>
          <w:lang w:eastAsia="cs-CZ"/>
        </w:rPr>
        <w:t>7</w:t>
      </w:r>
      <w:r w:rsidRPr="002B6A35">
        <w:rPr>
          <w:rFonts w:eastAsia="Times New Roman"/>
          <w:lang w:eastAsia="cs-CZ"/>
        </w:rPr>
        <w:t xml:space="preserve"> %)</w:t>
      </w:r>
    </w:p>
    <w:p w:rsidR="00E6133C" w:rsidRPr="00E6133C" w:rsidRDefault="00E6133C" w:rsidP="00E6133C">
      <w:pPr>
        <w:pStyle w:val="Bezmezer"/>
        <w:rPr>
          <w:highlight w:val="yellow"/>
          <w:lang w:eastAsia="cs-CZ"/>
        </w:rPr>
      </w:pPr>
      <w:r w:rsidRPr="00955D26">
        <w:rPr>
          <w:lang w:eastAsia="cs-CZ"/>
        </w:rPr>
        <w:t xml:space="preserve">Naopak </w:t>
      </w:r>
      <w:r w:rsidR="00955D26" w:rsidRPr="00955D26">
        <w:rPr>
          <w:b/>
          <w:lang w:eastAsia="cs-CZ"/>
        </w:rPr>
        <w:t>nízký</w:t>
      </w:r>
      <w:r w:rsidRPr="00955D26">
        <w:rPr>
          <w:b/>
          <w:lang w:eastAsia="cs-CZ"/>
        </w:rPr>
        <w:t xml:space="preserve"> zájem je o bezbariérovost školních budov</w:t>
      </w:r>
      <w:r w:rsidRPr="00955D26">
        <w:rPr>
          <w:lang w:eastAsia="cs-CZ"/>
        </w:rPr>
        <w:t xml:space="preserve"> (</w:t>
      </w:r>
      <w:r w:rsidR="00955D26" w:rsidRPr="00955D26">
        <w:rPr>
          <w:lang w:eastAsia="cs-CZ"/>
        </w:rPr>
        <w:t>22</w:t>
      </w:r>
      <w:r w:rsidRPr="00955D26">
        <w:rPr>
          <w:lang w:eastAsia="cs-CZ"/>
        </w:rPr>
        <w:t>,</w:t>
      </w:r>
      <w:r w:rsidR="00955D26" w:rsidRPr="00955D26">
        <w:rPr>
          <w:lang w:eastAsia="cs-CZ"/>
        </w:rPr>
        <w:t>2</w:t>
      </w:r>
      <w:r w:rsidRPr="00955D26">
        <w:rPr>
          <w:lang w:eastAsia="cs-CZ"/>
        </w:rPr>
        <w:t xml:space="preserve"> %), ale toto téma jako jediné vykazuje </w:t>
      </w:r>
      <w:r w:rsidR="00955D26">
        <w:rPr>
          <w:lang w:eastAsia="cs-CZ"/>
        </w:rPr>
        <w:t>totožnou</w:t>
      </w:r>
      <w:r w:rsidRPr="00955D26">
        <w:rPr>
          <w:lang w:eastAsia="cs-CZ"/>
        </w:rPr>
        <w:t xml:space="preserve"> hodnotu i v období 2019 – 2020. </w:t>
      </w:r>
      <w:r w:rsidR="00955D26" w:rsidRPr="00955D26">
        <w:rPr>
          <w:lang w:eastAsia="cs-CZ"/>
        </w:rPr>
        <w:t>Důvodem by mohlo být, že jediná bezbariérovost je z daného výčtu</w:t>
      </w:r>
      <w:r w:rsidRPr="00955D26">
        <w:rPr>
          <w:lang w:eastAsia="cs-CZ"/>
        </w:rPr>
        <w:t xml:space="preserve"> čistě fyzickým zásahem do chodu školy</w:t>
      </w:r>
      <w:r w:rsidR="00955D26" w:rsidRPr="00955D26">
        <w:rPr>
          <w:lang w:eastAsia="cs-CZ"/>
        </w:rPr>
        <w:t xml:space="preserve"> a </w:t>
      </w:r>
      <w:r w:rsidRPr="00955D26">
        <w:rPr>
          <w:lang w:eastAsia="cs-CZ"/>
        </w:rPr>
        <w:t>vedení</w:t>
      </w:r>
      <w:r w:rsidR="00955D26" w:rsidRPr="00955D26">
        <w:rPr>
          <w:lang w:eastAsia="cs-CZ"/>
        </w:rPr>
        <w:t xml:space="preserve"> mateřských</w:t>
      </w:r>
      <w:r w:rsidRPr="00955D26">
        <w:rPr>
          <w:lang w:eastAsia="cs-CZ"/>
        </w:rPr>
        <w:t xml:space="preserve"> škol o této problematice</w:t>
      </w:r>
      <w:r w:rsidR="00955D26" w:rsidRPr="00955D26">
        <w:rPr>
          <w:lang w:eastAsia="cs-CZ"/>
        </w:rPr>
        <w:t xml:space="preserve"> uvažuje</w:t>
      </w:r>
      <w:r w:rsidRPr="00955D26">
        <w:rPr>
          <w:lang w:eastAsia="cs-CZ"/>
        </w:rPr>
        <w:t xml:space="preserve"> patrně jako o „běhu na delší trať“. </w:t>
      </w:r>
      <w:r w:rsidR="002E1059">
        <w:rPr>
          <w:lang w:eastAsia="cs-CZ"/>
        </w:rPr>
        <w:t xml:space="preserve">Obecně se dá říci, že </w:t>
      </w:r>
      <w:r w:rsidR="002E1059" w:rsidRPr="002E1059">
        <w:rPr>
          <w:b/>
          <w:lang w:eastAsia="cs-CZ"/>
        </w:rPr>
        <w:t>MŠ upřednostňují</w:t>
      </w:r>
      <w:r w:rsidR="002E1059">
        <w:rPr>
          <w:lang w:eastAsia="cs-CZ"/>
        </w:rPr>
        <w:t xml:space="preserve"> aktivity na bázi </w:t>
      </w:r>
      <w:r w:rsidR="002E1059" w:rsidRPr="002E1059">
        <w:rPr>
          <w:b/>
          <w:lang w:eastAsia="cs-CZ"/>
        </w:rPr>
        <w:t>obecných vzájemných vztahů</w:t>
      </w:r>
      <w:r w:rsidR="002E1059">
        <w:rPr>
          <w:lang w:eastAsia="cs-CZ"/>
        </w:rPr>
        <w:t xml:space="preserve"> </w:t>
      </w:r>
      <w:r w:rsidR="002E1059" w:rsidRPr="002E1059">
        <w:rPr>
          <w:b/>
          <w:lang w:eastAsia="cs-CZ"/>
        </w:rPr>
        <w:t>bez</w:t>
      </w:r>
      <w:r w:rsidR="002E1059">
        <w:rPr>
          <w:lang w:eastAsia="cs-CZ"/>
        </w:rPr>
        <w:t xml:space="preserve"> větší </w:t>
      </w:r>
      <w:r w:rsidR="002E1059" w:rsidRPr="002E1059">
        <w:rPr>
          <w:b/>
          <w:lang w:eastAsia="cs-CZ"/>
        </w:rPr>
        <w:t xml:space="preserve">specializace na </w:t>
      </w:r>
      <w:r w:rsidR="002E1059" w:rsidRPr="002E1059">
        <w:rPr>
          <w:lang w:eastAsia="cs-CZ"/>
        </w:rPr>
        <w:t>„detaily“</w:t>
      </w:r>
      <w:r w:rsidR="002E1059">
        <w:rPr>
          <w:lang w:eastAsia="cs-CZ"/>
        </w:rPr>
        <w:t xml:space="preserve"> typu </w:t>
      </w:r>
      <w:r w:rsidR="002E1059" w:rsidRPr="002E1059">
        <w:rPr>
          <w:b/>
          <w:lang w:eastAsia="cs-CZ"/>
        </w:rPr>
        <w:t>výuky češtiny pro cizince</w:t>
      </w:r>
      <w:r w:rsidR="002E1059">
        <w:rPr>
          <w:lang w:eastAsia="cs-CZ"/>
        </w:rPr>
        <w:t xml:space="preserve"> nebo </w:t>
      </w:r>
      <w:r w:rsidR="002E1059" w:rsidRPr="002E1059">
        <w:rPr>
          <w:b/>
          <w:lang w:eastAsia="cs-CZ"/>
        </w:rPr>
        <w:t>speciálních vzdělávacích potřeb</w:t>
      </w:r>
      <w:r w:rsidR="002E1059">
        <w:rPr>
          <w:lang w:eastAsia="cs-CZ"/>
        </w:rPr>
        <w:t xml:space="preserve">. </w:t>
      </w:r>
      <w:r w:rsidR="001C6780">
        <w:rPr>
          <w:lang w:eastAsia="cs-CZ"/>
        </w:rPr>
        <w:t>Důvodem je patrně snaha pokrýt aktivitami co největší množství dětí.</w:t>
      </w:r>
    </w:p>
    <w:p w:rsidR="00E6133C" w:rsidRPr="00D363D4" w:rsidRDefault="00E6133C" w:rsidP="00E6133C">
      <w:pPr>
        <w:pStyle w:val="Nadpis5"/>
      </w:pPr>
      <w:r w:rsidRPr="00D363D4">
        <w:t>Tabulka</w:t>
      </w:r>
      <w:r w:rsidRPr="00D363D4">
        <w:rPr>
          <w:szCs w:val="20"/>
        </w:rPr>
        <w:t>: Inkluzivní/ společné vzdělávání</w:t>
      </w:r>
    </w:p>
    <w:tbl>
      <w:tblPr>
        <w:tblW w:w="9089" w:type="dxa"/>
        <w:tblInd w:w="53" w:type="dxa"/>
        <w:tblBorders>
          <w:insideH w:val="single" w:sz="8" w:space="0" w:color="000000"/>
          <w:insideV w:val="single" w:sz="8" w:space="0" w:color="000000"/>
        </w:tblBorders>
        <w:tblLayout w:type="fixed"/>
        <w:tblCellMar>
          <w:left w:w="70" w:type="dxa"/>
          <w:right w:w="70" w:type="dxa"/>
        </w:tblCellMar>
        <w:tblLook w:val="04A0"/>
      </w:tblPr>
      <w:tblGrid>
        <w:gridCol w:w="4979"/>
        <w:gridCol w:w="992"/>
        <w:gridCol w:w="992"/>
        <w:gridCol w:w="992"/>
        <w:gridCol w:w="567"/>
        <w:gridCol w:w="567"/>
      </w:tblGrid>
      <w:tr w:rsidR="00CB05F8" w:rsidRPr="00E848A9" w:rsidTr="00346B20">
        <w:trPr>
          <w:trHeight w:val="227"/>
        </w:trPr>
        <w:tc>
          <w:tcPr>
            <w:tcW w:w="4979" w:type="dxa"/>
            <w:vMerge w:val="restart"/>
            <w:shd w:val="clear" w:color="000000" w:fill="FAC090"/>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 </w:t>
            </w:r>
          </w:p>
        </w:tc>
        <w:tc>
          <w:tcPr>
            <w:tcW w:w="1984" w:type="dxa"/>
            <w:gridSpan w:val="2"/>
            <w:shd w:val="clear" w:color="000000" w:fill="FAC090"/>
            <w:vAlign w:val="bottom"/>
            <w:hideMark/>
          </w:tcPr>
          <w:p w:rsidR="00CB05F8" w:rsidRPr="00E848A9" w:rsidRDefault="00CB05F8" w:rsidP="00346B20">
            <w:pPr>
              <w:pStyle w:val="Nzev"/>
              <w:jc w:val="center"/>
              <w:rPr>
                <w:rFonts w:eastAsia="Times New Roman"/>
                <w:lang w:eastAsia="cs-CZ"/>
              </w:rPr>
            </w:pPr>
            <w:r w:rsidRPr="00E848A9">
              <w:rPr>
                <w:rFonts w:eastAsia="Times New Roman"/>
                <w:lang w:eastAsia="cs-CZ"/>
              </w:rPr>
              <w:t>Podíl MŠ v rámci SO ORP plánujících zlepšení</w:t>
            </w:r>
          </w:p>
        </w:tc>
        <w:tc>
          <w:tcPr>
            <w:tcW w:w="2126" w:type="dxa"/>
            <w:gridSpan w:val="3"/>
            <w:shd w:val="clear" w:color="000000" w:fill="FAC090"/>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Průměrné hodnocení aktuálního stavu</w:t>
            </w:r>
          </w:p>
        </w:tc>
      </w:tr>
      <w:tr w:rsidR="00CB05F8" w:rsidRPr="00E848A9" w:rsidTr="00346B20">
        <w:trPr>
          <w:trHeight w:val="227"/>
        </w:trPr>
        <w:tc>
          <w:tcPr>
            <w:tcW w:w="4979" w:type="dxa"/>
            <w:vMerge/>
            <w:vAlign w:val="center"/>
            <w:hideMark/>
          </w:tcPr>
          <w:p w:rsidR="00CB05F8" w:rsidRPr="00E848A9" w:rsidRDefault="00CB05F8" w:rsidP="00346B20">
            <w:pPr>
              <w:pStyle w:val="Nzev"/>
              <w:jc w:val="left"/>
              <w:rPr>
                <w:rFonts w:eastAsia="Times New Roman"/>
                <w:lang w:eastAsia="cs-CZ"/>
              </w:rPr>
            </w:pPr>
          </w:p>
        </w:tc>
        <w:tc>
          <w:tcPr>
            <w:tcW w:w="992" w:type="dxa"/>
            <w:shd w:val="clear" w:color="000000" w:fill="FAC090"/>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2016–18</w:t>
            </w:r>
          </w:p>
        </w:tc>
        <w:tc>
          <w:tcPr>
            <w:tcW w:w="992" w:type="dxa"/>
            <w:shd w:val="clear" w:color="000000" w:fill="FAC090"/>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2019–20</w:t>
            </w:r>
          </w:p>
        </w:tc>
        <w:tc>
          <w:tcPr>
            <w:tcW w:w="992" w:type="dxa"/>
            <w:shd w:val="clear" w:color="000000" w:fill="FAC090"/>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SO ORP</w:t>
            </w:r>
          </w:p>
        </w:tc>
        <w:tc>
          <w:tcPr>
            <w:tcW w:w="567" w:type="dxa"/>
            <w:shd w:val="clear" w:color="000000" w:fill="FAC090"/>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kraj</w:t>
            </w:r>
          </w:p>
        </w:tc>
        <w:tc>
          <w:tcPr>
            <w:tcW w:w="567" w:type="dxa"/>
            <w:shd w:val="clear" w:color="000000" w:fill="FAC090"/>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ČR</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dokáže přijmout ke vzdělávání všechny děti bez rozdílu (včetně dětí s odlišným kulturním prostředím, sociálním znevýhodněním, cizince, děti se SVP apod.)</w:t>
            </w:r>
          </w:p>
        </w:tc>
        <w:tc>
          <w:tcPr>
            <w:tcW w:w="992" w:type="dxa"/>
            <w:shd w:val="clear" w:color="000000" w:fill="D7E4BC"/>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66,7%</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2,61</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2,49</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2,50</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je bezbariérová (jedná se o bezbariérovost jak vnější, tj. zpřístupnění školy, tak i vnitřní, tj. přizpůsobení a vybavení tříd a dalších prostorů školy)</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22,2%</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22,2%</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2,11</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1,79</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1,68</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umí komunikovat s dětmi, rodiči i pedagogy, vnímá jejich potřeby a systematicky rozvíjí školní kulturu, bezpečné a otevřené klima školy</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E6B9B8"/>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3,11</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3,09</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3,13</w:t>
            </w:r>
          </w:p>
        </w:tc>
      </w:tr>
      <w:tr w:rsidR="00CB05F8" w:rsidRPr="00E848A9" w:rsidTr="00346B20">
        <w:trPr>
          <w:trHeight w:val="227"/>
        </w:trPr>
        <w:tc>
          <w:tcPr>
            <w:tcW w:w="4979" w:type="dxa"/>
            <w:shd w:val="clear" w:color="auto" w:fill="auto"/>
            <w:vAlign w:val="center"/>
            <w:hideMark/>
          </w:tcPr>
          <w:p w:rsidR="00CB05F8" w:rsidRPr="00E848A9" w:rsidRDefault="00CB05F8" w:rsidP="007F34AD">
            <w:pPr>
              <w:pStyle w:val="Nzev"/>
              <w:jc w:val="left"/>
              <w:rPr>
                <w:rFonts w:eastAsia="Times New Roman"/>
                <w:lang w:eastAsia="cs-CZ"/>
              </w:rPr>
            </w:pPr>
            <w:r w:rsidRPr="00E848A9">
              <w:rPr>
                <w:rFonts w:eastAsia="Times New Roman"/>
                <w:lang w:eastAsia="cs-CZ"/>
              </w:rPr>
              <w:t>Škola umožňuje pedagogům navázat vztahy s  místními a reg</w:t>
            </w:r>
            <w:r w:rsidR="007F34AD">
              <w:rPr>
                <w:rFonts w:eastAsia="Times New Roman"/>
                <w:lang w:eastAsia="cs-CZ"/>
              </w:rPr>
              <w:t>.</w:t>
            </w:r>
            <w:r w:rsidRPr="00E848A9">
              <w:rPr>
                <w:rFonts w:eastAsia="Times New Roman"/>
                <w:lang w:eastAsia="cs-CZ"/>
              </w:rPr>
              <w:t xml:space="preserve"> školami různých úrovní (společné diskuze, sdílení dobré praxe, akce pro j</w:t>
            </w:r>
            <w:r w:rsidR="007F34AD">
              <w:rPr>
                <w:rFonts w:eastAsia="Times New Roman"/>
                <w:lang w:eastAsia="cs-CZ"/>
              </w:rPr>
              <w:t xml:space="preserve">iné školy nebo s jinými </w:t>
            </w:r>
            <w:proofErr w:type="gramStart"/>
            <w:r w:rsidR="007F34AD">
              <w:rPr>
                <w:rFonts w:eastAsia="Times New Roman"/>
                <w:lang w:eastAsia="cs-CZ"/>
              </w:rPr>
              <w:t>školami..</w:t>
            </w:r>
            <w:r w:rsidRPr="00E848A9">
              <w:rPr>
                <w:rFonts w:eastAsia="Times New Roman"/>
                <w:lang w:eastAsia="cs-CZ"/>
              </w:rPr>
              <w:t>.)</w:t>
            </w:r>
            <w:proofErr w:type="gramEnd"/>
          </w:p>
        </w:tc>
        <w:tc>
          <w:tcPr>
            <w:tcW w:w="992" w:type="dxa"/>
            <w:shd w:val="clear" w:color="000000" w:fill="D7E4BC"/>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66,7%</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E6B9B8"/>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2,11</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2,45</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2,48</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lastRenderedPageBreak/>
              <w:t>Vedení školy vytváří podmínky pro realizaci inkluzivních principů ve vzdělávání na škole (zajišťování odborné, materiální a finanční podpory, dalšího vzdělávání pedagogických pracovníků, vzájemného učení pedagogických pracovníků; pravidelná metodická setkání členů pedagogického sboru aj.)</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55,6%</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22,2%</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2,61</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2,60</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2,59</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upravuje organizaci a průběh vzdělávání v souladu s potřebami dětí se speciálními vzdělávacími potřebami</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2,44</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2,37</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2,42</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má vytvořený systém podpory pro děti se SVP (je vybavena kompenzačními/ speciálními pomůckami, využívá služeb asistenta pedagoga atd.)</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1,94</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1,85</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1,92</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Pedagogové umí využívat speciální pomůcky i kompenzační pomůcky</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55,6%</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2,00</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1,91</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2,00</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podporuje bezproblémový přechod všech dětí bez rozdílu na základní školy</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44,4%</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16,7%</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3,17</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3,16</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3,16</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Pedagogové spolupracují při naplňování vzdělávacích potřeb dětí (např. společnými poradami týkajícími se vzdělávání těchto dětí apod.)</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50,0%</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3,06</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2,95</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2,96</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Pedagogové školy jsou schopni vhodně přizpůsobit obsah vzdělávání, upravit formy a metody vzdělávání a nastavit různé úrovně obtížnosti v souladu se specifiky a potřebami dětí tak, aby bylo dosaženo a využito maximálních možností vzdělávaného dítěte</w:t>
            </w:r>
          </w:p>
        </w:tc>
        <w:tc>
          <w:tcPr>
            <w:tcW w:w="992" w:type="dxa"/>
            <w:shd w:val="clear" w:color="000000" w:fill="D7E4BC"/>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66,7%</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2,94</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2,75</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2,77</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Pedagogové umí spolupracovat ve výuce s dalšími pedagogickými (asistent pedagoga, další pedagog) i nepedagogickými pracovníky (tlumočník do českého znakového jazyka, osobní asistent)</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55,6%</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2,28</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2,19</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2,23</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zajišťuje dětem se speciálními vzdělávacími potřebami účast na aktivitách nad rámec školní práce, které směřují k rozvoji dovedností, schopností a postojů dítěte</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44,4%</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16,7%</w:t>
            </w:r>
          </w:p>
        </w:tc>
        <w:tc>
          <w:tcPr>
            <w:tcW w:w="992" w:type="dxa"/>
            <w:shd w:val="clear" w:color="000000" w:fill="E6B9B8"/>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1,78</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1,80</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1,88</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Učitelé realizují pedagogickou diagnostiku dětí, vyhodnocují její výsledky a v souladu s nimi volí formy a metody výuky, resp. kroky další péče o děti</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66,7%</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16,7%</w:t>
            </w:r>
          </w:p>
        </w:tc>
        <w:tc>
          <w:tcPr>
            <w:tcW w:w="992" w:type="dxa"/>
            <w:shd w:val="clear" w:color="000000" w:fill="E6B9B8"/>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2,83</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2,83</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2,91</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poskytuje výuku českého jazyka pro cizince</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33,3%</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E6B9B8"/>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1,17</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1,23</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1,25</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Pedagogové využívají v komunikaci s dítětem popisnou slovní zpětnou vazbu, vytvářejí prostor k sebehodnocení dítěte a k rozvoji jeho motivace ke vzdělávání</w:t>
            </w:r>
          </w:p>
        </w:tc>
        <w:tc>
          <w:tcPr>
            <w:tcW w:w="992" w:type="dxa"/>
            <w:shd w:val="clear" w:color="000000" w:fill="D7E4BC"/>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66,7%</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2,89</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2,87</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2,84</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klade důraz nejen na budování vlastního úspěchu dítěte, ale i na odbourávání bariér mezi lidmi, vede k sounáležitosti s ostatními dětmi a dalšími lidmi apod.</w:t>
            </w:r>
          </w:p>
        </w:tc>
        <w:tc>
          <w:tcPr>
            <w:tcW w:w="992" w:type="dxa"/>
            <w:shd w:val="clear" w:color="000000" w:fill="D7E4BC"/>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83,3%</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E6B9B8"/>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2,94</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3,04</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3,03</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Učitelé vnímají tvořivým způsobem rozdíly mezi dětmi jako zdroj zkušeností a příležitost k vlastnímu seberozvoji</w:t>
            </w:r>
          </w:p>
        </w:tc>
        <w:tc>
          <w:tcPr>
            <w:tcW w:w="992" w:type="dxa"/>
            <w:shd w:val="clear" w:color="000000" w:fill="D7E4BC"/>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66,7%</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11,1%</w:t>
            </w:r>
          </w:p>
        </w:tc>
        <w:tc>
          <w:tcPr>
            <w:tcW w:w="992" w:type="dxa"/>
            <w:shd w:val="clear" w:color="000000" w:fill="E6B9B8"/>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2,78</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2,90</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2,92</w:t>
            </w:r>
          </w:p>
        </w:tc>
      </w:tr>
      <w:tr w:rsidR="00CB05F8" w:rsidRPr="00E848A9" w:rsidTr="00346B20">
        <w:trPr>
          <w:trHeight w:val="227"/>
        </w:trPr>
        <w:tc>
          <w:tcPr>
            <w:tcW w:w="4979" w:type="dxa"/>
            <w:shd w:val="clear" w:color="auto" w:fill="auto"/>
            <w:vAlign w:val="center"/>
            <w:hideMark/>
          </w:tcPr>
          <w:p w:rsidR="00CB05F8" w:rsidRPr="00E848A9" w:rsidRDefault="00CB05F8" w:rsidP="00346B20">
            <w:pPr>
              <w:pStyle w:val="Nzev"/>
              <w:jc w:val="left"/>
              <w:rPr>
                <w:rFonts w:eastAsia="Times New Roman"/>
                <w:lang w:eastAsia="cs-CZ"/>
              </w:rPr>
            </w:pPr>
            <w:r w:rsidRPr="00E848A9">
              <w:rPr>
                <w:rFonts w:eastAsia="Times New Roman"/>
                <w:lang w:eastAsia="cs-CZ"/>
              </w:rPr>
              <w:t>Škola učí všechny děti uvědomovat si práva a povinnosti (vina, trest, spravedlnost, Úmluva o právech dítěte apod.)</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61,1%</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5,6%</w:t>
            </w:r>
          </w:p>
        </w:tc>
        <w:tc>
          <w:tcPr>
            <w:tcW w:w="992"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3,22</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3,11</w:t>
            </w:r>
          </w:p>
        </w:tc>
        <w:tc>
          <w:tcPr>
            <w:tcW w:w="567" w:type="dxa"/>
            <w:shd w:val="clear" w:color="000000" w:fill="FFFFFF"/>
            <w:vAlign w:val="center"/>
            <w:hideMark/>
          </w:tcPr>
          <w:p w:rsidR="00CB05F8" w:rsidRPr="00E848A9" w:rsidRDefault="00CB05F8" w:rsidP="00346B20">
            <w:pPr>
              <w:pStyle w:val="Nzev"/>
              <w:jc w:val="center"/>
              <w:rPr>
                <w:rFonts w:eastAsia="Times New Roman"/>
                <w:lang w:eastAsia="cs-CZ"/>
              </w:rPr>
            </w:pPr>
            <w:r w:rsidRPr="00E848A9">
              <w:rPr>
                <w:rFonts w:eastAsia="Times New Roman"/>
                <w:lang w:eastAsia="cs-CZ"/>
              </w:rPr>
              <w:t>3,09</w:t>
            </w:r>
          </w:p>
        </w:tc>
      </w:tr>
    </w:tbl>
    <w:p w:rsidR="007F34AD" w:rsidRPr="00452E67" w:rsidRDefault="00E6133C" w:rsidP="00E6133C">
      <w:pPr>
        <w:pStyle w:val="Bezmezer"/>
        <w:rPr>
          <w:lang w:eastAsia="cs-CZ"/>
        </w:rPr>
      </w:pPr>
      <w:r w:rsidRPr="00111D84">
        <w:rPr>
          <w:lang w:eastAsia="cs-CZ"/>
        </w:rPr>
        <w:t>K </w:t>
      </w:r>
      <w:r w:rsidR="00111D84">
        <w:rPr>
          <w:lang w:eastAsia="cs-CZ"/>
        </w:rPr>
        <w:t>menším</w:t>
      </w:r>
      <w:r w:rsidR="001C6780" w:rsidRPr="00111D84">
        <w:rPr>
          <w:lang w:eastAsia="cs-CZ"/>
        </w:rPr>
        <w:t xml:space="preserve"> </w:t>
      </w:r>
      <w:r w:rsidRPr="00111D84">
        <w:rPr>
          <w:lang w:eastAsia="cs-CZ"/>
        </w:rPr>
        <w:t xml:space="preserve">rozporům </w:t>
      </w:r>
      <w:r w:rsidR="001C6780" w:rsidRPr="00111D84">
        <w:rPr>
          <w:lang w:eastAsia="cs-CZ"/>
        </w:rPr>
        <w:t xml:space="preserve">dochází po </w:t>
      </w:r>
      <w:r w:rsidRPr="00111D84">
        <w:rPr>
          <w:lang w:eastAsia="cs-CZ"/>
        </w:rPr>
        <w:t>konfront</w:t>
      </w:r>
      <w:r w:rsidR="001C6780" w:rsidRPr="00111D84">
        <w:rPr>
          <w:lang w:eastAsia="cs-CZ"/>
        </w:rPr>
        <w:t xml:space="preserve">aci s hodnotami </w:t>
      </w:r>
      <w:r w:rsidRPr="00111D84">
        <w:rPr>
          <w:lang w:eastAsia="cs-CZ"/>
        </w:rPr>
        <w:t>představují</w:t>
      </w:r>
      <w:r w:rsidR="001C6780" w:rsidRPr="00111D84">
        <w:rPr>
          <w:lang w:eastAsia="cs-CZ"/>
        </w:rPr>
        <w:t>cími</w:t>
      </w:r>
      <w:r w:rsidRPr="00111D84">
        <w:rPr>
          <w:lang w:eastAsia="cs-CZ"/>
        </w:rPr>
        <w:t xml:space="preserve"> </w:t>
      </w:r>
      <w:r w:rsidR="001C6780" w:rsidRPr="00111D84">
        <w:rPr>
          <w:lang w:eastAsia="cs-CZ"/>
        </w:rPr>
        <w:t>klasifikaci</w:t>
      </w:r>
      <w:r w:rsidRPr="00111D84">
        <w:rPr>
          <w:lang w:eastAsia="cs-CZ"/>
        </w:rPr>
        <w:t xml:space="preserve"> současného stavu těch samých témat. </w:t>
      </w:r>
      <w:r w:rsidR="00111D84">
        <w:rPr>
          <w:lang w:eastAsia="cs-CZ"/>
        </w:rPr>
        <w:t xml:space="preserve">Pět témat zařazených mezi ty </w:t>
      </w:r>
      <w:r w:rsidR="00EB6DE6">
        <w:rPr>
          <w:lang w:eastAsia="cs-CZ"/>
        </w:rPr>
        <w:t>nejpalčivější</w:t>
      </w:r>
      <w:r w:rsidR="00111D84">
        <w:rPr>
          <w:lang w:eastAsia="cs-CZ"/>
        </w:rPr>
        <w:t xml:space="preserve"> dosahuj</w:t>
      </w:r>
      <w:r w:rsidR="00BD20DD">
        <w:rPr>
          <w:lang w:eastAsia="cs-CZ"/>
        </w:rPr>
        <w:t>e</w:t>
      </w:r>
      <w:r w:rsidR="00111D84">
        <w:rPr>
          <w:lang w:eastAsia="cs-CZ"/>
        </w:rPr>
        <w:t xml:space="preserve"> při aktuálním hodnocení čísel </w:t>
      </w:r>
      <w:r w:rsidR="0072243D">
        <w:rPr>
          <w:lang w:eastAsia="cs-CZ"/>
        </w:rPr>
        <w:t xml:space="preserve">2,61, </w:t>
      </w:r>
      <w:r w:rsidR="00111D84">
        <w:rPr>
          <w:lang w:eastAsia="cs-CZ"/>
        </w:rPr>
        <w:t xml:space="preserve">2,94, </w:t>
      </w:r>
      <w:r w:rsidR="0072243D">
        <w:rPr>
          <w:lang w:eastAsia="cs-CZ"/>
        </w:rPr>
        <w:t>2,89, 2,94</w:t>
      </w:r>
      <w:r w:rsidR="00EB6DE6">
        <w:rPr>
          <w:lang w:eastAsia="cs-CZ"/>
        </w:rPr>
        <w:t xml:space="preserve"> a</w:t>
      </w:r>
      <w:r w:rsidR="0072243D">
        <w:rPr>
          <w:lang w:eastAsia="cs-CZ"/>
        </w:rPr>
        <w:t xml:space="preserve"> </w:t>
      </w:r>
      <w:r w:rsidR="00111D84">
        <w:rPr>
          <w:lang w:eastAsia="cs-CZ"/>
        </w:rPr>
        <w:t>2,78</w:t>
      </w:r>
      <w:r w:rsidR="00EB6DE6">
        <w:rPr>
          <w:lang w:eastAsia="cs-CZ"/>
        </w:rPr>
        <w:t xml:space="preserve">, tedy stavu blížícímu se k „Realizovaná oblast, </w:t>
      </w:r>
      <w:r w:rsidR="00EB6DE6" w:rsidRPr="00EB6DE6">
        <w:rPr>
          <w:lang w:eastAsia="cs-CZ"/>
        </w:rPr>
        <w:t>tzn. funk</w:t>
      </w:r>
      <w:r w:rsidR="00EB6DE6" w:rsidRPr="00EB6DE6">
        <w:rPr>
          <w:rFonts w:hint="eastAsia"/>
          <w:lang w:eastAsia="cs-CZ"/>
        </w:rPr>
        <w:t>č</w:t>
      </w:r>
      <w:r w:rsidR="00EB6DE6" w:rsidRPr="00EB6DE6">
        <w:rPr>
          <w:lang w:eastAsia="cs-CZ"/>
        </w:rPr>
        <w:t xml:space="preserve">ní </w:t>
      </w:r>
      <w:r w:rsidR="00EB6DE6" w:rsidRPr="00EB6DE6">
        <w:rPr>
          <w:rFonts w:hint="eastAsia"/>
          <w:lang w:eastAsia="cs-CZ"/>
        </w:rPr>
        <w:t>čá</w:t>
      </w:r>
      <w:r w:rsidR="00EB6DE6" w:rsidRPr="00EB6DE6">
        <w:rPr>
          <w:lang w:eastAsia="cs-CZ"/>
        </w:rPr>
        <w:t>sti systému realizovány na základní</w:t>
      </w:r>
      <w:r w:rsidR="00EB6DE6">
        <w:rPr>
          <w:lang w:eastAsia="cs-CZ"/>
        </w:rPr>
        <w:t xml:space="preserve"> úrovni, je prostor na </w:t>
      </w:r>
      <w:r w:rsidR="00EB6DE6" w:rsidRPr="00550181">
        <w:rPr>
          <w:lang w:eastAsia="cs-CZ"/>
        </w:rPr>
        <w:t>zlepšení“</w:t>
      </w:r>
      <w:r w:rsidR="00870CAB" w:rsidRPr="00550181">
        <w:rPr>
          <w:lang w:eastAsia="cs-CZ"/>
        </w:rPr>
        <w:t>.</w:t>
      </w:r>
      <w:r w:rsidR="00111D84" w:rsidRPr="00550181">
        <w:rPr>
          <w:lang w:eastAsia="cs-CZ"/>
        </w:rPr>
        <w:t xml:space="preserve"> </w:t>
      </w:r>
      <w:r w:rsidRPr="00550181">
        <w:rPr>
          <w:b/>
          <w:lang w:eastAsia="cs-CZ"/>
        </w:rPr>
        <w:t xml:space="preserve">Vzhledem k relativitě standardu, dle kterého mohou svůj současný stav </w:t>
      </w:r>
      <w:r w:rsidR="00452E67">
        <w:rPr>
          <w:b/>
          <w:lang w:eastAsia="cs-CZ"/>
        </w:rPr>
        <w:t xml:space="preserve">mateřské </w:t>
      </w:r>
      <w:r w:rsidRPr="00550181">
        <w:rPr>
          <w:b/>
          <w:lang w:eastAsia="cs-CZ"/>
        </w:rPr>
        <w:t xml:space="preserve">školy porovnávat, se však jako informace s vyšší vypovídací hodnotou jeví procentuální míra </w:t>
      </w:r>
      <w:r w:rsidRPr="00452E67">
        <w:rPr>
          <w:b/>
          <w:lang w:eastAsia="cs-CZ"/>
        </w:rPr>
        <w:t>priority vybraných témat</w:t>
      </w:r>
      <w:r w:rsidRPr="00452E67">
        <w:rPr>
          <w:lang w:eastAsia="cs-CZ"/>
        </w:rPr>
        <w:t xml:space="preserve">. Tuto skutečnost </w:t>
      </w:r>
      <w:r w:rsidR="00D751EF">
        <w:rPr>
          <w:lang w:eastAsia="cs-CZ"/>
        </w:rPr>
        <w:t>dále dokreslují</w:t>
      </w:r>
      <w:r w:rsidRPr="00452E67">
        <w:rPr>
          <w:lang w:eastAsia="cs-CZ"/>
        </w:rPr>
        <w:t xml:space="preserve"> i další sebrané informace týkající se procentuálního podílu </w:t>
      </w:r>
      <w:r w:rsidR="00452E67" w:rsidRPr="00452E67">
        <w:rPr>
          <w:lang w:eastAsia="cs-CZ"/>
        </w:rPr>
        <w:t>MŠ</w:t>
      </w:r>
      <w:r w:rsidRPr="00452E67">
        <w:rPr>
          <w:lang w:eastAsia="cs-CZ"/>
        </w:rPr>
        <w:t xml:space="preserve"> v rámci SO ORP KH narážejících na danou překážku: </w:t>
      </w:r>
    </w:p>
    <w:p w:rsidR="00452E67" w:rsidRPr="00452E67" w:rsidRDefault="00452E67" w:rsidP="00E6133C">
      <w:pPr>
        <w:pStyle w:val="Nzev"/>
        <w:numPr>
          <w:ilvl w:val="0"/>
          <w:numId w:val="33"/>
        </w:numPr>
        <w:rPr>
          <w:rFonts w:eastAsia="Times New Roman"/>
          <w:lang w:eastAsia="cs-CZ"/>
        </w:rPr>
      </w:pPr>
      <w:r w:rsidRPr="00452E67">
        <w:rPr>
          <w:rFonts w:eastAsia="Times New Roman"/>
          <w:lang w:eastAsia="cs-CZ"/>
        </w:rPr>
        <w:t>Velký po</w:t>
      </w:r>
      <w:r w:rsidRPr="00452E67">
        <w:rPr>
          <w:rFonts w:eastAsia="Times New Roman" w:hint="eastAsia"/>
          <w:lang w:eastAsia="cs-CZ"/>
        </w:rPr>
        <w:t>č</w:t>
      </w:r>
      <w:r w:rsidRPr="00452E67">
        <w:rPr>
          <w:rFonts w:eastAsia="Times New Roman"/>
          <w:lang w:eastAsia="cs-CZ"/>
        </w:rPr>
        <w:t>et d</w:t>
      </w:r>
      <w:r w:rsidRPr="00452E67">
        <w:rPr>
          <w:rFonts w:eastAsia="Times New Roman" w:hint="eastAsia"/>
          <w:lang w:eastAsia="cs-CZ"/>
        </w:rPr>
        <w:t>ě</w:t>
      </w:r>
      <w:r w:rsidRPr="00452E67">
        <w:rPr>
          <w:rFonts w:eastAsia="Times New Roman"/>
          <w:lang w:eastAsia="cs-CZ"/>
        </w:rPr>
        <w:t>tí ve t</w:t>
      </w:r>
      <w:r w:rsidRPr="00452E67">
        <w:rPr>
          <w:rFonts w:eastAsia="Times New Roman" w:hint="eastAsia"/>
          <w:lang w:eastAsia="cs-CZ"/>
        </w:rPr>
        <w:t>ří</w:t>
      </w:r>
      <w:r w:rsidRPr="00452E67">
        <w:rPr>
          <w:rFonts w:eastAsia="Times New Roman"/>
          <w:lang w:eastAsia="cs-CZ"/>
        </w:rPr>
        <w:t>dách (72,2 %)</w:t>
      </w:r>
    </w:p>
    <w:p w:rsidR="00E6133C" w:rsidRPr="00452E67" w:rsidRDefault="00E6133C" w:rsidP="00E6133C">
      <w:pPr>
        <w:pStyle w:val="Nzev"/>
        <w:numPr>
          <w:ilvl w:val="0"/>
          <w:numId w:val="33"/>
        </w:numPr>
        <w:rPr>
          <w:rFonts w:eastAsia="Times New Roman"/>
          <w:lang w:eastAsia="cs-CZ"/>
        </w:rPr>
      </w:pPr>
      <w:r w:rsidRPr="00452E67">
        <w:rPr>
          <w:rFonts w:eastAsia="Times New Roman"/>
          <w:lang w:eastAsia="cs-CZ"/>
        </w:rPr>
        <w:lastRenderedPageBreak/>
        <w:t xml:space="preserve">Nedostatečné finanční zajištění personálních nákladů na práci s heterogenními skupinami žáků (např. asistentů pedagoga, pedagogické i nepedagogické </w:t>
      </w:r>
      <w:proofErr w:type="gramStart"/>
      <w:r w:rsidRPr="00452E67">
        <w:rPr>
          <w:rFonts w:eastAsia="Times New Roman"/>
          <w:lang w:eastAsia="cs-CZ"/>
        </w:rPr>
        <w:t>pracovníky) (</w:t>
      </w:r>
      <w:r w:rsidR="00452E67" w:rsidRPr="00452E67">
        <w:rPr>
          <w:rFonts w:eastAsia="Times New Roman"/>
          <w:lang w:eastAsia="cs-CZ"/>
        </w:rPr>
        <w:t>66,7</w:t>
      </w:r>
      <w:proofErr w:type="gramEnd"/>
      <w:r w:rsidR="00452E67" w:rsidRPr="00452E67">
        <w:rPr>
          <w:rFonts w:eastAsia="Times New Roman"/>
          <w:lang w:eastAsia="cs-CZ"/>
        </w:rPr>
        <w:t xml:space="preserve"> %</w:t>
      </w:r>
      <w:r w:rsidRPr="00452E67">
        <w:rPr>
          <w:rFonts w:eastAsia="Times New Roman"/>
          <w:lang w:eastAsia="cs-CZ"/>
        </w:rPr>
        <w:t>)</w:t>
      </w:r>
    </w:p>
    <w:p w:rsidR="00E6133C" w:rsidRPr="00616D11" w:rsidRDefault="00E6133C" w:rsidP="00E6133C">
      <w:pPr>
        <w:pStyle w:val="Nzev"/>
        <w:numPr>
          <w:ilvl w:val="0"/>
          <w:numId w:val="33"/>
        </w:numPr>
        <w:rPr>
          <w:rFonts w:eastAsia="Times New Roman"/>
          <w:lang w:eastAsia="cs-CZ"/>
        </w:rPr>
      </w:pPr>
      <w:r w:rsidRPr="00452E67">
        <w:rPr>
          <w:rFonts w:eastAsia="Times New Roman"/>
          <w:lang w:eastAsia="cs-CZ"/>
        </w:rPr>
        <w:t xml:space="preserve">Nedostatek finančních prostředků pro realizaci mimoškolního vzdělávání pro znevýhodněné žáky (např. výstavy, </w:t>
      </w:r>
      <w:r w:rsidRPr="00616D11">
        <w:rPr>
          <w:rFonts w:eastAsia="Times New Roman"/>
          <w:lang w:eastAsia="cs-CZ"/>
        </w:rPr>
        <w:t>exkurze, kroužky apod.) (</w:t>
      </w:r>
      <w:r w:rsidR="00452E67" w:rsidRPr="00616D11">
        <w:rPr>
          <w:rFonts w:eastAsia="Times New Roman"/>
          <w:lang w:eastAsia="cs-CZ"/>
        </w:rPr>
        <w:t>50</w:t>
      </w:r>
      <w:r w:rsidRPr="00616D11">
        <w:rPr>
          <w:rFonts w:eastAsia="Times New Roman"/>
          <w:lang w:eastAsia="cs-CZ"/>
        </w:rPr>
        <w:t xml:space="preserve"> %)</w:t>
      </w:r>
    </w:p>
    <w:p w:rsidR="00E6133C" w:rsidRPr="002F5362" w:rsidRDefault="00616D11" w:rsidP="00E6133C">
      <w:pPr>
        <w:pStyle w:val="Bezmezer"/>
        <w:rPr>
          <w:lang w:eastAsia="cs-CZ"/>
        </w:rPr>
      </w:pPr>
      <w:r w:rsidRPr="00616D11">
        <w:rPr>
          <w:lang w:eastAsia="cs-CZ"/>
        </w:rPr>
        <w:t>MŠ</w:t>
      </w:r>
      <w:r w:rsidR="00E6133C" w:rsidRPr="00616D11">
        <w:rPr>
          <w:lang w:eastAsia="cs-CZ"/>
        </w:rPr>
        <w:t xml:space="preserve"> se tak snaží v rámci mezí činit, co se dá a tento stav poté patrně hodnotí jako relativně stabilizovaný, ale je evidentní, že jim zásadně</w:t>
      </w:r>
      <w:r w:rsidR="00E6133C" w:rsidRPr="00616D11">
        <w:rPr>
          <w:b/>
          <w:lang w:eastAsia="cs-CZ"/>
        </w:rPr>
        <w:t xml:space="preserve"> chybí </w:t>
      </w:r>
      <w:r w:rsidRPr="00616D11">
        <w:rPr>
          <w:lang w:eastAsia="cs-CZ"/>
        </w:rPr>
        <w:t>zejména</w:t>
      </w:r>
      <w:r w:rsidR="00E6133C" w:rsidRPr="00616D11">
        <w:rPr>
          <w:b/>
          <w:lang w:eastAsia="cs-CZ"/>
        </w:rPr>
        <w:t xml:space="preserve"> personální </w:t>
      </w:r>
      <w:r w:rsidRPr="00616D11">
        <w:rPr>
          <w:b/>
          <w:lang w:eastAsia="cs-CZ"/>
        </w:rPr>
        <w:t xml:space="preserve">a prostorové </w:t>
      </w:r>
      <w:r w:rsidR="00E6133C" w:rsidRPr="00616D11">
        <w:rPr>
          <w:b/>
          <w:lang w:eastAsia="cs-CZ"/>
        </w:rPr>
        <w:t>kapacity</w:t>
      </w:r>
      <w:r w:rsidRPr="00616D11">
        <w:rPr>
          <w:b/>
          <w:lang w:eastAsia="cs-CZ"/>
        </w:rPr>
        <w:t xml:space="preserve"> </w:t>
      </w:r>
      <w:r w:rsidRPr="00616D11">
        <w:rPr>
          <w:lang w:eastAsia="cs-CZ"/>
        </w:rPr>
        <w:t>na pokrytí</w:t>
      </w:r>
      <w:r w:rsidRPr="00616D11">
        <w:rPr>
          <w:b/>
          <w:lang w:eastAsia="cs-CZ"/>
        </w:rPr>
        <w:t xml:space="preserve"> velkého počtu dětí, o péči o specifické skupiny dětí ani nemluvě. </w:t>
      </w:r>
      <w:r w:rsidRPr="00616D11">
        <w:rPr>
          <w:lang w:eastAsia="cs-CZ"/>
        </w:rPr>
        <w:t>Celou tuto problematiku pak samozřejmě zastřešuje</w:t>
      </w:r>
      <w:r w:rsidRPr="00616D11">
        <w:rPr>
          <w:b/>
          <w:lang w:eastAsia="cs-CZ"/>
        </w:rPr>
        <w:t xml:space="preserve"> téma financí, se kterým se budeme setkávat v rámci celého tohoto doku</w:t>
      </w:r>
      <w:r w:rsidRPr="002F5362">
        <w:rPr>
          <w:b/>
          <w:lang w:eastAsia="cs-CZ"/>
        </w:rPr>
        <w:t>mentu.</w:t>
      </w:r>
      <w:r w:rsidR="00E6133C" w:rsidRPr="002F5362">
        <w:rPr>
          <w:lang w:eastAsia="cs-CZ"/>
        </w:rPr>
        <w:t xml:space="preserve"> </w:t>
      </w:r>
    </w:p>
    <w:p w:rsidR="00E6133C" w:rsidRPr="00C952D7" w:rsidRDefault="00E6133C" w:rsidP="00E6133C">
      <w:pPr>
        <w:pStyle w:val="Bezmezer"/>
        <w:rPr>
          <w:u w:val="single"/>
        </w:rPr>
      </w:pPr>
      <w:r w:rsidRPr="002F5362">
        <w:rPr>
          <w:u w:val="single"/>
        </w:rPr>
        <w:t xml:space="preserve">Rozvoj čtenářské </w:t>
      </w:r>
      <w:r w:rsidR="00E265C8" w:rsidRPr="00C952D7">
        <w:rPr>
          <w:u w:val="single"/>
        </w:rPr>
        <w:t>pre</w:t>
      </w:r>
      <w:r w:rsidRPr="00C952D7">
        <w:rPr>
          <w:u w:val="single"/>
        </w:rPr>
        <w:t>gramotnosti</w:t>
      </w:r>
    </w:p>
    <w:p w:rsidR="00E6133C" w:rsidRPr="00F54CA2" w:rsidRDefault="00C952D7" w:rsidP="00E6133C">
      <w:pPr>
        <w:pStyle w:val="Bezmezer"/>
      </w:pPr>
      <w:r w:rsidRPr="00C952D7">
        <w:t>M</w:t>
      </w:r>
      <w:r w:rsidR="00E6133C" w:rsidRPr="00C952D7">
        <w:t xml:space="preserve">Š </w:t>
      </w:r>
      <w:r w:rsidRPr="00C952D7">
        <w:t xml:space="preserve">se v rámci </w:t>
      </w:r>
      <w:r w:rsidRPr="00F54CA2">
        <w:t>čtenářské pregramotnosti zabývaly deseti</w:t>
      </w:r>
      <w:r w:rsidR="00E6133C" w:rsidRPr="00F54CA2">
        <w:t xml:space="preserve"> modelový</w:t>
      </w:r>
      <w:r w:rsidRPr="00F54CA2">
        <w:t>mi situacemi</w:t>
      </w:r>
      <w:r w:rsidR="00E6133C" w:rsidRPr="00F54CA2">
        <w:t xml:space="preserve">. </w:t>
      </w:r>
    </w:p>
    <w:p w:rsidR="00E6133C" w:rsidRPr="00093FF6" w:rsidRDefault="00F54CA2" w:rsidP="00E6133C">
      <w:pPr>
        <w:pStyle w:val="Bezmezer"/>
      </w:pPr>
      <w:r w:rsidRPr="00F54CA2">
        <w:t xml:space="preserve">Mateřské školy by se v období 2016 – 2018 rády zaměřily zejména na </w:t>
      </w:r>
      <w:r w:rsidRPr="00F54CA2">
        <w:rPr>
          <w:b/>
        </w:rPr>
        <w:t>systémový rozvoj</w:t>
      </w:r>
      <w:r w:rsidRPr="00F54CA2">
        <w:t xml:space="preserve"> čtenářské pregramotnosti </w:t>
      </w:r>
      <w:r w:rsidRPr="00F54CA2">
        <w:rPr>
          <w:b/>
        </w:rPr>
        <w:t>pomocí školních vzdělávacích programů</w:t>
      </w:r>
      <w:r w:rsidRPr="00F54CA2">
        <w:t xml:space="preserve">. Ruku v ruce s tím by mělo jít logicky další </w:t>
      </w:r>
      <w:r w:rsidRPr="00F54CA2">
        <w:rPr>
          <w:b/>
        </w:rPr>
        <w:t>dovzdělávání pedagogů</w:t>
      </w:r>
      <w:r w:rsidRPr="00F54CA2">
        <w:t xml:space="preserve"> (nejvíce upřednostňované činnosti). Zbylá tři témata jsou úzce vázána na </w:t>
      </w:r>
      <w:r w:rsidRPr="00F54CA2">
        <w:rPr>
          <w:b/>
        </w:rPr>
        <w:t>kvalitní materiální zázemí</w:t>
      </w:r>
      <w:r w:rsidRPr="00F54CA2">
        <w:t xml:space="preserve">, které je zase vázáno na </w:t>
      </w:r>
      <w:r w:rsidRPr="00F54CA2">
        <w:rPr>
          <w:b/>
        </w:rPr>
        <w:t>odpovídající zázemí finanční</w:t>
      </w:r>
      <w:r w:rsidRPr="00F54CA2">
        <w:t>:</w:t>
      </w:r>
    </w:p>
    <w:p w:rsidR="00E6133C" w:rsidRPr="002F7BC1" w:rsidRDefault="00093FF6" w:rsidP="00E6133C">
      <w:pPr>
        <w:pStyle w:val="Nzev"/>
        <w:numPr>
          <w:ilvl w:val="0"/>
          <w:numId w:val="32"/>
        </w:numPr>
        <w:rPr>
          <w:rFonts w:eastAsia="Times New Roman"/>
          <w:lang w:eastAsia="cs-CZ"/>
        </w:rPr>
      </w:pPr>
      <w:r w:rsidRPr="002F7BC1">
        <w:t xml:space="preserve">Škola podporuje rozvoj čtenářské pregramotnosti a řečových aktivit v rámci školních vzdělávacích programů (má stanoveny konkrétní </w:t>
      </w:r>
      <w:proofErr w:type="gramStart"/>
      <w:r w:rsidRPr="002F7BC1">
        <w:t>cíle)</w:t>
      </w:r>
      <w:r w:rsidR="00E6133C" w:rsidRPr="002F7BC1">
        <w:rPr>
          <w:rFonts w:eastAsia="Times New Roman"/>
          <w:lang w:eastAsia="cs-CZ"/>
        </w:rPr>
        <w:t xml:space="preserve"> (</w:t>
      </w:r>
      <w:r w:rsidRPr="002F7BC1">
        <w:rPr>
          <w:rFonts w:eastAsia="Times New Roman"/>
          <w:lang w:eastAsia="cs-CZ"/>
        </w:rPr>
        <w:t>83</w:t>
      </w:r>
      <w:r w:rsidR="00E6133C" w:rsidRPr="002F7BC1">
        <w:rPr>
          <w:rFonts w:eastAsia="Times New Roman"/>
          <w:lang w:eastAsia="cs-CZ"/>
        </w:rPr>
        <w:t>,</w:t>
      </w:r>
      <w:r w:rsidRPr="002F7BC1">
        <w:rPr>
          <w:rFonts w:eastAsia="Times New Roman"/>
          <w:lang w:eastAsia="cs-CZ"/>
        </w:rPr>
        <w:t>3</w:t>
      </w:r>
      <w:proofErr w:type="gramEnd"/>
      <w:r w:rsidR="00E6133C" w:rsidRPr="002F7BC1">
        <w:rPr>
          <w:rFonts w:eastAsia="Times New Roman"/>
          <w:lang w:eastAsia="cs-CZ"/>
        </w:rPr>
        <w:t xml:space="preserve"> %)</w:t>
      </w:r>
    </w:p>
    <w:p w:rsidR="00E6133C" w:rsidRPr="00E62F43" w:rsidRDefault="002F7BC1" w:rsidP="00E6133C">
      <w:pPr>
        <w:pStyle w:val="Nzev"/>
        <w:numPr>
          <w:ilvl w:val="0"/>
          <w:numId w:val="32"/>
        </w:numPr>
        <w:rPr>
          <w:rFonts w:eastAsia="Times New Roman"/>
          <w:lang w:eastAsia="cs-CZ"/>
        </w:rPr>
      </w:pPr>
      <w:r w:rsidRPr="002F7BC1">
        <w:t xml:space="preserve">Učitelé MŠ rozvíjejí </w:t>
      </w:r>
      <w:r w:rsidRPr="00E62F43">
        <w:t>své znalosti v oblasti čtenářské pregramotnosti a využívají je ve výchově (kurzy dalšího vzdělávání, studium literatury aj.)</w:t>
      </w:r>
      <w:r w:rsidR="00E6133C" w:rsidRPr="00E62F43">
        <w:rPr>
          <w:rFonts w:eastAsia="Times New Roman"/>
          <w:lang w:eastAsia="cs-CZ"/>
        </w:rPr>
        <w:t xml:space="preserve"> (</w:t>
      </w:r>
      <w:r w:rsidRPr="00E62F43">
        <w:rPr>
          <w:rFonts w:eastAsia="Times New Roman"/>
          <w:lang w:eastAsia="cs-CZ"/>
        </w:rPr>
        <w:t>83</w:t>
      </w:r>
      <w:r w:rsidR="00E6133C" w:rsidRPr="00E62F43">
        <w:rPr>
          <w:rFonts w:eastAsia="Times New Roman"/>
          <w:lang w:eastAsia="cs-CZ"/>
        </w:rPr>
        <w:t>,</w:t>
      </w:r>
      <w:r w:rsidRPr="00E62F43">
        <w:rPr>
          <w:rFonts w:eastAsia="Times New Roman"/>
          <w:lang w:eastAsia="cs-CZ"/>
        </w:rPr>
        <w:t>3</w:t>
      </w:r>
      <w:r w:rsidR="00E6133C" w:rsidRPr="00E62F43">
        <w:rPr>
          <w:rFonts w:eastAsia="Times New Roman"/>
          <w:lang w:eastAsia="cs-CZ"/>
        </w:rPr>
        <w:t xml:space="preserve"> %)</w:t>
      </w:r>
    </w:p>
    <w:p w:rsidR="00E6133C" w:rsidRPr="00E62F43" w:rsidRDefault="00E62F43" w:rsidP="00E6133C">
      <w:pPr>
        <w:pStyle w:val="Nzev"/>
        <w:numPr>
          <w:ilvl w:val="0"/>
          <w:numId w:val="32"/>
        </w:numPr>
        <w:rPr>
          <w:rFonts w:eastAsia="Times New Roman"/>
          <w:lang w:eastAsia="cs-CZ"/>
        </w:rPr>
      </w:pPr>
      <w:r w:rsidRPr="00E62F43">
        <w:t>Ve škole jsou realizovány akce pro děti na podporu čtenářské pregramotnosti a zvýšení motivace ke čtenářství (např. výstavy dětských knih, knižních ilustrací, malování děje pohádkových příběhů, hry na postavy z kin apod.)</w:t>
      </w:r>
      <w:r w:rsidR="00E6133C" w:rsidRPr="00E62F43">
        <w:rPr>
          <w:rFonts w:eastAsia="Times New Roman"/>
          <w:lang w:eastAsia="cs-CZ"/>
        </w:rPr>
        <w:t xml:space="preserve"> (</w:t>
      </w:r>
      <w:r w:rsidRPr="00E62F43">
        <w:rPr>
          <w:rFonts w:eastAsia="Times New Roman"/>
          <w:lang w:eastAsia="cs-CZ"/>
        </w:rPr>
        <w:t>77</w:t>
      </w:r>
      <w:r w:rsidR="00E6133C" w:rsidRPr="00E62F43">
        <w:rPr>
          <w:rFonts w:eastAsia="Times New Roman"/>
          <w:lang w:eastAsia="cs-CZ"/>
        </w:rPr>
        <w:t>,</w:t>
      </w:r>
      <w:r w:rsidRPr="00E62F43">
        <w:rPr>
          <w:rFonts w:eastAsia="Times New Roman"/>
          <w:lang w:eastAsia="cs-CZ"/>
        </w:rPr>
        <w:t>8</w:t>
      </w:r>
      <w:r w:rsidR="00E6133C" w:rsidRPr="00E62F43">
        <w:rPr>
          <w:rFonts w:eastAsia="Times New Roman"/>
          <w:lang w:eastAsia="cs-CZ"/>
        </w:rPr>
        <w:t xml:space="preserve"> %)</w:t>
      </w:r>
    </w:p>
    <w:p w:rsidR="00E6133C" w:rsidRPr="00E62F43" w:rsidRDefault="00E62F43" w:rsidP="00E6133C">
      <w:pPr>
        <w:pStyle w:val="Nzev"/>
        <w:numPr>
          <w:ilvl w:val="0"/>
          <w:numId w:val="32"/>
        </w:numPr>
        <w:rPr>
          <w:rFonts w:eastAsia="Times New Roman"/>
          <w:lang w:eastAsia="cs-CZ"/>
        </w:rPr>
      </w:pPr>
      <w:r w:rsidRPr="00E62F43">
        <w:t>Škola disponuje dostatečným technickým a materiálním zabezpečením v oblasti čtenářské pregramotnosti</w:t>
      </w:r>
      <w:r w:rsidR="00E6133C" w:rsidRPr="00E62F43">
        <w:rPr>
          <w:rFonts w:eastAsia="Times New Roman"/>
          <w:lang w:eastAsia="cs-CZ"/>
        </w:rPr>
        <w:t xml:space="preserve"> (</w:t>
      </w:r>
      <w:r w:rsidRPr="00E62F43">
        <w:rPr>
          <w:rFonts w:eastAsia="Times New Roman"/>
          <w:lang w:eastAsia="cs-CZ"/>
        </w:rPr>
        <w:t>77</w:t>
      </w:r>
      <w:r w:rsidR="00E6133C" w:rsidRPr="00E62F43">
        <w:rPr>
          <w:rFonts w:eastAsia="Times New Roman"/>
          <w:lang w:eastAsia="cs-CZ"/>
        </w:rPr>
        <w:t>,</w:t>
      </w:r>
      <w:r w:rsidRPr="00E62F43">
        <w:rPr>
          <w:rFonts w:eastAsia="Times New Roman"/>
          <w:lang w:eastAsia="cs-CZ"/>
        </w:rPr>
        <w:t>8</w:t>
      </w:r>
      <w:r w:rsidR="00E6133C" w:rsidRPr="00E62F43">
        <w:rPr>
          <w:rFonts w:eastAsia="Times New Roman"/>
          <w:lang w:eastAsia="cs-CZ"/>
        </w:rPr>
        <w:t xml:space="preserve"> %)</w:t>
      </w:r>
    </w:p>
    <w:p w:rsidR="00E6133C" w:rsidRPr="00E62F43" w:rsidRDefault="00E62F43" w:rsidP="00E62F43">
      <w:pPr>
        <w:pStyle w:val="Nzev"/>
        <w:numPr>
          <w:ilvl w:val="0"/>
          <w:numId w:val="32"/>
        </w:numPr>
        <w:rPr>
          <w:rFonts w:eastAsia="Times New Roman"/>
          <w:lang w:eastAsia="cs-CZ"/>
        </w:rPr>
      </w:pPr>
      <w:r w:rsidRPr="00E62F43">
        <w:t>Škola pravidelně nakupuje aktuální beletrii a další literaturu, multimédia pro rozvoj čtenářské pregramotnosti</w:t>
      </w:r>
      <w:r w:rsidR="00E6133C" w:rsidRPr="00E62F43">
        <w:rPr>
          <w:rFonts w:eastAsia="Times New Roman"/>
          <w:lang w:eastAsia="cs-CZ"/>
        </w:rPr>
        <w:t xml:space="preserve"> (</w:t>
      </w:r>
      <w:r w:rsidRPr="00E62F43">
        <w:rPr>
          <w:rFonts w:eastAsia="Times New Roman"/>
          <w:lang w:eastAsia="cs-CZ"/>
        </w:rPr>
        <w:t>77</w:t>
      </w:r>
      <w:r w:rsidR="00E6133C" w:rsidRPr="00E62F43">
        <w:rPr>
          <w:rFonts w:eastAsia="Times New Roman"/>
          <w:lang w:eastAsia="cs-CZ"/>
        </w:rPr>
        <w:t>,</w:t>
      </w:r>
      <w:r w:rsidRPr="00E62F43">
        <w:rPr>
          <w:rFonts w:eastAsia="Times New Roman"/>
          <w:lang w:eastAsia="cs-CZ"/>
        </w:rPr>
        <w:t>8</w:t>
      </w:r>
      <w:r w:rsidR="00E6133C" w:rsidRPr="00E62F43">
        <w:rPr>
          <w:rFonts w:eastAsia="Times New Roman"/>
          <w:lang w:eastAsia="cs-CZ"/>
        </w:rPr>
        <w:t xml:space="preserve"> %)</w:t>
      </w:r>
    </w:p>
    <w:p w:rsidR="00E6133C" w:rsidRPr="00E6133C" w:rsidRDefault="00E6133C" w:rsidP="00E6133C">
      <w:pPr>
        <w:pStyle w:val="Bezmezer"/>
        <w:rPr>
          <w:highlight w:val="yellow"/>
          <w:lang w:eastAsia="cs-CZ"/>
        </w:rPr>
      </w:pPr>
      <w:r w:rsidRPr="00633F5F">
        <w:rPr>
          <w:b/>
          <w:lang w:eastAsia="cs-CZ"/>
        </w:rPr>
        <w:t xml:space="preserve">Nejnižší </w:t>
      </w:r>
      <w:r w:rsidRPr="00633F5F">
        <w:rPr>
          <w:lang w:eastAsia="cs-CZ"/>
        </w:rPr>
        <w:t xml:space="preserve">(avšak i tak na poměry </w:t>
      </w:r>
      <w:r w:rsidR="00633F5F" w:rsidRPr="00633F5F">
        <w:rPr>
          <w:lang w:eastAsia="cs-CZ"/>
        </w:rPr>
        <w:t>celkem vysoký)</w:t>
      </w:r>
      <w:r w:rsidRPr="00633F5F">
        <w:rPr>
          <w:lang w:eastAsia="cs-CZ"/>
        </w:rPr>
        <w:t xml:space="preserve"> </w:t>
      </w:r>
      <w:r w:rsidRPr="00633F5F">
        <w:rPr>
          <w:b/>
          <w:lang w:eastAsia="cs-CZ"/>
        </w:rPr>
        <w:t xml:space="preserve">zájem </w:t>
      </w:r>
      <w:r w:rsidRPr="00633F5F">
        <w:rPr>
          <w:lang w:eastAsia="cs-CZ"/>
        </w:rPr>
        <w:t xml:space="preserve">je o </w:t>
      </w:r>
      <w:r w:rsidR="00633F5F" w:rsidRPr="00633F5F">
        <w:rPr>
          <w:b/>
        </w:rPr>
        <w:t>využívání interaktivních metod</w:t>
      </w:r>
      <w:r w:rsidR="00633F5F" w:rsidRPr="00633F5F">
        <w:t xml:space="preserve"> a pomůcek v diskutované oblasti</w:t>
      </w:r>
      <w:r w:rsidRPr="00633F5F">
        <w:rPr>
          <w:lang w:eastAsia="cs-CZ"/>
        </w:rPr>
        <w:t xml:space="preserve"> (</w:t>
      </w:r>
      <w:r w:rsidR="00633F5F" w:rsidRPr="00633F5F">
        <w:rPr>
          <w:lang w:eastAsia="cs-CZ"/>
        </w:rPr>
        <w:t>55</w:t>
      </w:r>
      <w:r w:rsidRPr="00633F5F">
        <w:rPr>
          <w:lang w:eastAsia="cs-CZ"/>
        </w:rPr>
        <w:t>,</w:t>
      </w:r>
      <w:r w:rsidR="00633F5F" w:rsidRPr="00633F5F">
        <w:rPr>
          <w:lang w:eastAsia="cs-CZ"/>
        </w:rPr>
        <w:t>6</w:t>
      </w:r>
      <w:r w:rsidRPr="00633F5F">
        <w:rPr>
          <w:lang w:eastAsia="cs-CZ"/>
        </w:rPr>
        <w:t xml:space="preserve"> %). </w:t>
      </w:r>
      <w:r w:rsidR="00633F5F">
        <w:rPr>
          <w:lang w:eastAsia="cs-CZ"/>
        </w:rPr>
        <w:t xml:space="preserve">Toto téma je však na druhou stranu jedno ze dvou nejpreferovanějších v druhém sledovaném období a můžeme tedy mluvit o </w:t>
      </w:r>
      <w:r w:rsidR="00633F5F" w:rsidRPr="00633F5F">
        <w:rPr>
          <w:b/>
          <w:lang w:eastAsia="cs-CZ"/>
        </w:rPr>
        <w:t>rovnoměrném rozvržení priorit</w:t>
      </w:r>
      <w:r w:rsidR="00633F5F">
        <w:rPr>
          <w:lang w:eastAsia="cs-CZ"/>
        </w:rPr>
        <w:t>.</w:t>
      </w:r>
    </w:p>
    <w:p w:rsidR="00E6133C" w:rsidRPr="000B7E8F" w:rsidRDefault="00E6133C" w:rsidP="00E6133C">
      <w:pPr>
        <w:pStyle w:val="Nadpis5"/>
      </w:pPr>
      <w:r w:rsidRPr="000B7E8F">
        <w:t xml:space="preserve">Tabulka: Čtenářská </w:t>
      </w:r>
      <w:r w:rsidR="000B7E8F" w:rsidRPr="000B7E8F">
        <w:t>pre</w:t>
      </w:r>
      <w:r w:rsidRPr="000B7E8F">
        <w:t>gramotnost</w:t>
      </w:r>
    </w:p>
    <w:tbl>
      <w:tblPr>
        <w:tblW w:w="9089" w:type="dxa"/>
        <w:tblBorders>
          <w:insideH w:val="single" w:sz="8" w:space="0" w:color="000000"/>
          <w:insideV w:val="single" w:sz="8" w:space="0" w:color="000000"/>
        </w:tblBorders>
        <w:tblLayout w:type="fixed"/>
        <w:tblCellMar>
          <w:left w:w="0" w:type="dxa"/>
          <w:right w:w="0" w:type="dxa"/>
        </w:tblCellMar>
        <w:tblLook w:val="04A0"/>
      </w:tblPr>
      <w:tblGrid>
        <w:gridCol w:w="5120"/>
        <w:gridCol w:w="851"/>
        <w:gridCol w:w="992"/>
        <w:gridCol w:w="851"/>
        <w:gridCol w:w="708"/>
        <w:gridCol w:w="567"/>
      </w:tblGrid>
      <w:tr w:rsidR="00777BAD" w:rsidRPr="00777BAD" w:rsidTr="00777BAD">
        <w:trPr>
          <w:trHeight w:val="227"/>
        </w:trPr>
        <w:tc>
          <w:tcPr>
            <w:tcW w:w="5120" w:type="dxa"/>
            <w:vMerge w:val="restart"/>
            <w:shd w:val="clear" w:color="000000" w:fill="FAC090"/>
            <w:tcMar>
              <w:top w:w="17" w:type="dxa"/>
              <w:left w:w="17" w:type="dxa"/>
              <w:bottom w:w="0" w:type="dxa"/>
              <w:right w:w="17" w:type="dxa"/>
            </w:tcMar>
            <w:vAlign w:val="center"/>
            <w:hideMark/>
          </w:tcPr>
          <w:p w:rsidR="00777BAD" w:rsidRPr="00777BAD" w:rsidRDefault="00777BAD" w:rsidP="00777BAD">
            <w:pPr>
              <w:pStyle w:val="Nzev"/>
              <w:jc w:val="left"/>
            </w:pPr>
            <w:r w:rsidRPr="00777BAD">
              <w:t> </w:t>
            </w:r>
          </w:p>
        </w:tc>
        <w:tc>
          <w:tcPr>
            <w:tcW w:w="1843" w:type="dxa"/>
            <w:gridSpan w:val="2"/>
            <w:shd w:val="clear" w:color="000000" w:fill="FAC090"/>
            <w:tcMar>
              <w:top w:w="17" w:type="dxa"/>
              <w:left w:w="17" w:type="dxa"/>
              <w:bottom w:w="0" w:type="dxa"/>
              <w:right w:w="17" w:type="dxa"/>
            </w:tcMar>
            <w:vAlign w:val="bottom"/>
            <w:hideMark/>
          </w:tcPr>
          <w:p w:rsidR="00777BAD" w:rsidRPr="00777BAD" w:rsidRDefault="00777BAD" w:rsidP="00777BAD">
            <w:pPr>
              <w:pStyle w:val="Nzev"/>
              <w:jc w:val="center"/>
            </w:pPr>
            <w:r w:rsidRPr="00777BAD">
              <w:t xml:space="preserve">Podíl MŠ v rámci </w:t>
            </w:r>
            <w:r>
              <w:t xml:space="preserve">SO </w:t>
            </w:r>
            <w:r w:rsidRPr="00777BAD">
              <w:t>ORP plánujících zlepšení</w:t>
            </w:r>
          </w:p>
        </w:tc>
        <w:tc>
          <w:tcPr>
            <w:tcW w:w="2126" w:type="dxa"/>
            <w:gridSpan w:val="3"/>
            <w:shd w:val="clear" w:color="000000" w:fill="FAC090"/>
            <w:tcMar>
              <w:top w:w="17" w:type="dxa"/>
              <w:left w:w="17" w:type="dxa"/>
              <w:bottom w:w="0" w:type="dxa"/>
              <w:right w:w="17" w:type="dxa"/>
            </w:tcMar>
            <w:vAlign w:val="center"/>
            <w:hideMark/>
          </w:tcPr>
          <w:p w:rsidR="00777BAD" w:rsidRPr="00777BAD" w:rsidRDefault="00777BAD" w:rsidP="00777BAD">
            <w:pPr>
              <w:pStyle w:val="Nzev"/>
              <w:jc w:val="center"/>
            </w:pPr>
            <w:r w:rsidRPr="00777BAD">
              <w:t>Průměrné hodnocení aktuálního stavu</w:t>
            </w:r>
          </w:p>
        </w:tc>
      </w:tr>
      <w:tr w:rsidR="00777BAD" w:rsidRPr="00777BAD" w:rsidTr="00777BAD">
        <w:trPr>
          <w:trHeight w:val="227"/>
        </w:trPr>
        <w:tc>
          <w:tcPr>
            <w:tcW w:w="5120" w:type="dxa"/>
            <w:vMerge/>
            <w:vAlign w:val="center"/>
            <w:hideMark/>
          </w:tcPr>
          <w:p w:rsidR="00777BAD" w:rsidRPr="00777BAD" w:rsidRDefault="00777BAD" w:rsidP="00777BAD">
            <w:pPr>
              <w:pStyle w:val="Nzev"/>
              <w:jc w:val="left"/>
            </w:pPr>
          </w:p>
        </w:tc>
        <w:tc>
          <w:tcPr>
            <w:tcW w:w="851" w:type="dxa"/>
            <w:shd w:val="clear" w:color="000000" w:fill="FAC090"/>
            <w:tcMar>
              <w:top w:w="17" w:type="dxa"/>
              <w:left w:w="17" w:type="dxa"/>
              <w:bottom w:w="0" w:type="dxa"/>
              <w:right w:w="17" w:type="dxa"/>
            </w:tcMar>
            <w:vAlign w:val="center"/>
            <w:hideMark/>
          </w:tcPr>
          <w:p w:rsidR="00777BAD" w:rsidRPr="00777BAD" w:rsidRDefault="00777BAD" w:rsidP="00777BAD">
            <w:pPr>
              <w:pStyle w:val="Nzev"/>
              <w:jc w:val="center"/>
            </w:pPr>
            <w:r w:rsidRPr="00777BAD">
              <w:t>2016–18</w:t>
            </w:r>
          </w:p>
        </w:tc>
        <w:tc>
          <w:tcPr>
            <w:tcW w:w="992" w:type="dxa"/>
            <w:shd w:val="clear" w:color="000000" w:fill="FAC090"/>
            <w:tcMar>
              <w:top w:w="17" w:type="dxa"/>
              <w:left w:w="17" w:type="dxa"/>
              <w:bottom w:w="0" w:type="dxa"/>
              <w:right w:w="17" w:type="dxa"/>
            </w:tcMar>
            <w:vAlign w:val="center"/>
            <w:hideMark/>
          </w:tcPr>
          <w:p w:rsidR="00777BAD" w:rsidRPr="00777BAD" w:rsidRDefault="00777BAD" w:rsidP="00777BAD">
            <w:pPr>
              <w:pStyle w:val="Nzev"/>
              <w:jc w:val="center"/>
            </w:pPr>
            <w:r w:rsidRPr="00777BAD">
              <w:t>2019–20</w:t>
            </w:r>
          </w:p>
        </w:tc>
        <w:tc>
          <w:tcPr>
            <w:tcW w:w="851" w:type="dxa"/>
            <w:shd w:val="clear" w:color="000000" w:fill="FAC090"/>
            <w:tcMar>
              <w:top w:w="17" w:type="dxa"/>
              <w:left w:w="17" w:type="dxa"/>
              <w:bottom w:w="0" w:type="dxa"/>
              <w:right w:w="17" w:type="dxa"/>
            </w:tcMar>
            <w:vAlign w:val="center"/>
            <w:hideMark/>
          </w:tcPr>
          <w:p w:rsidR="00777BAD" w:rsidRPr="00777BAD" w:rsidRDefault="00777BAD" w:rsidP="00777BAD">
            <w:pPr>
              <w:pStyle w:val="Nzev"/>
              <w:jc w:val="center"/>
            </w:pPr>
            <w:r w:rsidRPr="00777BAD">
              <w:t>SO ORP</w:t>
            </w:r>
          </w:p>
        </w:tc>
        <w:tc>
          <w:tcPr>
            <w:tcW w:w="708" w:type="dxa"/>
            <w:shd w:val="clear" w:color="000000" w:fill="FAC090"/>
            <w:tcMar>
              <w:top w:w="17" w:type="dxa"/>
              <w:left w:w="17" w:type="dxa"/>
              <w:bottom w:w="0" w:type="dxa"/>
              <w:right w:w="17" w:type="dxa"/>
            </w:tcMar>
            <w:vAlign w:val="center"/>
            <w:hideMark/>
          </w:tcPr>
          <w:p w:rsidR="00777BAD" w:rsidRPr="00777BAD" w:rsidRDefault="00777BAD" w:rsidP="00777BAD">
            <w:pPr>
              <w:pStyle w:val="Nzev"/>
              <w:jc w:val="center"/>
            </w:pPr>
            <w:r w:rsidRPr="00777BAD">
              <w:t>kraj</w:t>
            </w:r>
          </w:p>
        </w:tc>
        <w:tc>
          <w:tcPr>
            <w:tcW w:w="567" w:type="dxa"/>
            <w:shd w:val="clear" w:color="000000" w:fill="FAC090"/>
            <w:tcMar>
              <w:top w:w="17" w:type="dxa"/>
              <w:left w:w="17" w:type="dxa"/>
              <w:bottom w:w="0" w:type="dxa"/>
              <w:right w:w="17" w:type="dxa"/>
            </w:tcMar>
            <w:vAlign w:val="center"/>
            <w:hideMark/>
          </w:tcPr>
          <w:p w:rsidR="00777BAD" w:rsidRPr="00777BAD" w:rsidRDefault="00777BAD" w:rsidP="00777BAD">
            <w:pPr>
              <w:pStyle w:val="Nzev"/>
              <w:jc w:val="center"/>
            </w:pPr>
            <w:r w:rsidRPr="00777BAD">
              <w:t>ČR</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Škola podporuje rozvoj čtenářské pregramotnosti a řečových aktivit v rámci školních vzdělávacích programů (má stanoveny konkrétní cíle)</w:t>
            </w:r>
          </w:p>
        </w:tc>
        <w:tc>
          <w:tcPr>
            <w:tcW w:w="851" w:type="dxa"/>
            <w:shd w:val="clear" w:color="000000" w:fill="D7E4BC"/>
            <w:tcMar>
              <w:top w:w="17" w:type="dxa"/>
              <w:left w:w="17" w:type="dxa"/>
              <w:bottom w:w="0" w:type="dxa"/>
              <w:right w:w="17" w:type="dxa"/>
            </w:tcMar>
            <w:vAlign w:val="center"/>
            <w:hideMark/>
          </w:tcPr>
          <w:p w:rsidR="00777BAD" w:rsidRPr="00777BAD" w:rsidRDefault="00777BAD" w:rsidP="00777BAD">
            <w:pPr>
              <w:pStyle w:val="Nzev"/>
              <w:jc w:val="center"/>
            </w:pPr>
            <w:r w:rsidRPr="00777BAD">
              <w:t>83,3%</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5,6%</w:t>
            </w:r>
          </w:p>
        </w:tc>
        <w:tc>
          <w:tcPr>
            <w:tcW w:w="851" w:type="dxa"/>
            <w:shd w:val="clear" w:color="000000" w:fill="E6B9B8"/>
            <w:tcMar>
              <w:top w:w="17" w:type="dxa"/>
              <w:left w:w="17" w:type="dxa"/>
              <w:bottom w:w="0" w:type="dxa"/>
              <w:right w:w="17" w:type="dxa"/>
            </w:tcMar>
            <w:vAlign w:val="center"/>
            <w:hideMark/>
          </w:tcPr>
          <w:p w:rsidR="00777BAD" w:rsidRPr="00777BAD" w:rsidRDefault="00777BAD" w:rsidP="00777BAD">
            <w:pPr>
              <w:pStyle w:val="Nzev"/>
              <w:jc w:val="center"/>
            </w:pPr>
            <w:r w:rsidRPr="00777BAD">
              <w:t>2,78</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2,86</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2,90</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Učitelé MŠ rozvíjejí své znalosti v oblasti čtenářské pregramotnosti a využívají je ve výchově (kurzy dalšího vzdělávání, studium literatury aj.)</w:t>
            </w:r>
          </w:p>
        </w:tc>
        <w:tc>
          <w:tcPr>
            <w:tcW w:w="851" w:type="dxa"/>
            <w:shd w:val="clear" w:color="000000" w:fill="D7E4BC"/>
            <w:tcMar>
              <w:top w:w="17" w:type="dxa"/>
              <w:left w:w="17" w:type="dxa"/>
              <w:bottom w:w="0" w:type="dxa"/>
              <w:right w:w="17" w:type="dxa"/>
            </w:tcMar>
            <w:vAlign w:val="center"/>
            <w:hideMark/>
          </w:tcPr>
          <w:p w:rsidR="00777BAD" w:rsidRPr="00777BAD" w:rsidRDefault="00777BAD" w:rsidP="00777BAD">
            <w:pPr>
              <w:pStyle w:val="Nzev"/>
              <w:jc w:val="center"/>
            </w:pPr>
            <w:r w:rsidRPr="00777BAD">
              <w:t>83,3%</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11,1%</w:t>
            </w:r>
          </w:p>
        </w:tc>
        <w:tc>
          <w:tcPr>
            <w:tcW w:w="851" w:type="dxa"/>
            <w:shd w:val="clear" w:color="000000" w:fill="E6B9B8"/>
            <w:tcMar>
              <w:top w:w="17" w:type="dxa"/>
              <w:left w:w="17" w:type="dxa"/>
              <w:bottom w:w="0" w:type="dxa"/>
              <w:right w:w="17" w:type="dxa"/>
            </w:tcMar>
            <w:vAlign w:val="center"/>
            <w:hideMark/>
          </w:tcPr>
          <w:p w:rsidR="00777BAD" w:rsidRPr="00777BAD" w:rsidRDefault="00777BAD" w:rsidP="00777BAD">
            <w:pPr>
              <w:pStyle w:val="Nzev"/>
              <w:jc w:val="center"/>
            </w:pPr>
            <w:r w:rsidRPr="00777BAD">
              <w:t>2,72</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2,74</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2,76</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Učitelé využívají poznatků v praxi a sdílejí dobrou praxi v oblasti rozvoje čtenářské pregramotnosti mezi sebou i s učiteli z jiných škol</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72,2%</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22,2%</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2,50</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2,38</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2,39</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Ve škole existuje a/nebo je využívána knihovna (školní, místní)</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66,7%</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5,6%</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3,00</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2,78</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2,85</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Ve škole jsou realizovány akce pro děti na podporu čtenářské pregramotnosti a zvýšení motivace ke čtenářství (např. výstavy dětských knih, knižních ilustrací, malování děje pohádkových příběhů, hry na postavy z kin apod.)</w:t>
            </w:r>
          </w:p>
        </w:tc>
        <w:tc>
          <w:tcPr>
            <w:tcW w:w="851" w:type="dxa"/>
            <w:shd w:val="clear" w:color="000000" w:fill="D7E4BC"/>
            <w:tcMar>
              <w:top w:w="17" w:type="dxa"/>
              <w:left w:w="17" w:type="dxa"/>
              <w:bottom w:w="0" w:type="dxa"/>
              <w:right w:w="17" w:type="dxa"/>
            </w:tcMar>
            <w:vAlign w:val="center"/>
            <w:hideMark/>
          </w:tcPr>
          <w:p w:rsidR="00777BAD" w:rsidRPr="00777BAD" w:rsidRDefault="00777BAD" w:rsidP="00777BAD">
            <w:pPr>
              <w:pStyle w:val="Nzev"/>
              <w:jc w:val="center"/>
            </w:pPr>
            <w:r w:rsidRPr="00777BAD">
              <w:t>77,8%</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11,1%</w:t>
            </w:r>
          </w:p>
        </w:tc>
        <w:tc>
          <w:tcPr>
            <w:tcW w:w="851" w:type="dxa"/>
            <w:shd w:val="clear" w:color="000000" w:fill="E6B9B8"/>
            <w:tcMar>
              <w:top w:w="17" w:type="dxa"/>
              <w:left w:w="17" w:type="dxa"/>
              <w:bottom w:w="0" w:type="dxa"/>
              <w:right w:w="17" w:type="dxa"/>
            </w:tcMar>
            <w:vAlign w:val="center"/>
            <w:hideMark/>
          </w:tcPr>
          <w:p w:rsidR="00777BAD" w:rsidRPr="00777BAD" w:rsidRDefault="00777BAD" w:rsidP="00777BAD">
            <w:pPr>
              <w:pStyle w:val="Nzev"/>
              <w:jc w:val="center"/>
            </w:pPr>
            <w:r w:rsidRPr="00777BAD">
              <w:t>2,83</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2,89</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2,89</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F34AD" w:rsidRDefault="007F34AD" w:rsidP="003649FC">
            <w:pPr>
              <w:pStyle w:val="Nzev"/>
              <w:ind w:left="-134"/>
              <w:jc w:val="left"/>
            </w:pPr>
          </w:p>
          <w:p w:rsidR="00777BAD" w:rsidRPr="00777BAD" w:rsidRDefault="00777BAD" w:rsidP="003649FC">
            <w:pPr>
              <w:pStyle w:val="Nzev"/>
              <w:ind w:left="-134"/>
              <w:jc w:val="left"/>
            </w:pPr>
            <w:r w:rsidRPr="00777BAD">
              <w:lastRenderedPageBreak/>
              <w:t>Škola informuje a spolupracuje v oblasti rozvoje čtenářské pregramotnosti s rodiči (např. představení služeb školy v</w:t>
            </w:r>
            <w:r w:rsidR="003649FC">
              <w:t xml:space="preserve"> této </w:t>
            </w:r>
            <w:r w:rsidRPr="00777BAD">
              <w:t xml:space="preserve">oblasti, služeb knihovny, kroužků, aktivit spojených s čtenářskou </w:t>
            </w:r>
            <w:proofErr w:type="spellStart"/>
            <w:r w:rsidRPr="00777BAD">
              <w:t>pregramotností</w:t>
            </w:r>
            <w:proofErr w:type="spellEnd"/>
            <w:r w:rsidRPr="00777BAD">
              <w:t xml:space="preserve"> apod.)</w:t>
            </w:r>
          </w:p>
        </w:tc>
        <w:tc>
          <w:tcPr>
            <w:tcW w:w="851" w:type="dxa"/>
            <w:shd w:val="clear" w:color="000000" w:fill="FFFFFF"/>
            <w:tcMar>
              <w:top w:w="17" w:type="dxa"/>
              <w:left w:w="17" w:type="dxa"/>
              <w:bottom w:w="0" w:type="dxa"/>
              <w:right w:w="17" w:type="dxa"/>
            </w:tcMar>
            <w:vAlign w:val="center"/>
            <w:hideMark/>
          </w:tcPr>
          <w:p w:rsidR="007F34AD" w:rsidRDefault="007F34AD" w:rsidP="00777BAD">
            <w:pPr>
              <w:pStyle w:val="Nzev"/>
              <w:jc w:val="center"/>
            </w:pPr>
          </w:p>
          <w:p w:rsidR="00777BAD" w:rsidRPr="00777BAD" w:rsidRDefault="00777BAD" w:rsidP="00777BAD">
            <w:pPr>
              <w:pStyle w:val="Nzev"/>
              <w:jc w:val="center"/>
            </w:pPr>
            <w:r w:rsidRPr="00777BAD">
              <w:lastRenderedPageBreak/>
              <w:t>66,7%</w:t>
            </w:r>
          </w:p>
        </w:tc>
        <w:tc>
          <w:tcPr>
            <w:tcW w:w="992" w:type="dxa"/>
            <w:shd w:val="clear" w:color="000000" w:fill="FFFFFF"/>
            <w:tcMar>
              <w:top w:w="17" w:type="dxa"/>
              <w:left w:w="17" w:type="dxa"/>
              <w:bottom w:w="0" w:type="dxa"/>
              <w:right w:w="17" w:type="dxa"/>
            </w:tcMar>
            <w:vAlign w:val="center"/>
            <w:hideMark/>
          </w:tcPr>
          <w:p w:rsidR="007F34AD" w:rsidRDefault="007F34AD" w:rsidP="00777BAD">
            <w:pPr>
              <w:pStyle w:val="Nzev"/>
              <w:jc w:val="center"/>
            </w:pPr>
          </w:p>
          <w:p w:rsidR="00777BAD" w:rsidRPr="00777BAD" w:rsidRDefault="00777BAD" w:rsidP="00777BAD">
            <w:pPr>
              <w:pStyle w:val="Nzev"/>
              <w:jc w:val="center"/>
            </w:pPr>
            <w:r w:rsidRPr="00777BAD">
              <w:lastRenderedPageBreak/>
              <w:t>16,7%</w:t>
            </w:r>
          </w:p>
        </w:tc>
        <w:tc>
          <w:tcPr>
            <w:tcW w:w="851" w:type="dxa"/>
            <w:shd w:val="clear" w:color="000000" w:fill="E6B9B8"/>
            <w:tcMar>
              <w:top w:w="17" w:type="dxa"/>
              <w:left w:w="17" w:type="dxa"/>
              <w:bottom w:w="0" w:type="dxa"/>
              <w:right w:w="17" w:type="dxa"/>
            </w:tcMar>
            <w:vAlign w:val="center"/>
            <w:hideMark/>
          </w:tcPr>
          <w:p w:rsidR="007F34AD" w:rsidRDefault="007F34AD" w:rsidP="00777BAD">
            <w:pPr>
              <w:pStyle w:val="Nzev"/>
              <w:jc w:val="center"/>
            </w:pPr>
          </w:p>
          <w:p w:rsidR="00777BAD" w:rsidRPr="00777BAD" w:rsidRDefault="00777BAD" w:rsidP="00777BAD">
            <w:pPr>
              <w:pStyle w:val="Nzev"/>
              <w:jc w:val="center"/>
            </w:pPr>
            <w:r w:rsidRPr="00777BAD">
              <w:lastRenderedPageBreak/>
              <w:t>2,28</w:t>
            </w:r>
          </w:p>
        </w:tc>
        <w:tc>
          <w:tcPr>
            <w:tcW w:w="708" w:type="dxa"/>
            <w:shd w:val="clear" w:color="000000" w:fill="FFFFFF"/>
            <w:tcMar>
              <w:top w:w="17" w:type="dxa"/>
              <w:left w:w="17" w:type="dxa"/>
              <w:bottom w:w="0" w:type="dxa"/>
              <w:right w:w="17" w:type="dxa"/>
            </w:tcMar>
            <w:vAlign w:val="center"/>
            <w:hideMark/>
          </w:tcPr>
          <w:p w:rsidR="007F34AD" w:rsidRDefault="007F34AD" w:rsidP="00777BAD">
            <w:pPr>
              <w:pStyle w:val="Nzev"/>
              <w:jc w:val="center"/>
            </w:pPr>
          </w:p>
          <w:p w:rsidR="00777BAD" w:rsidRPr="00777BAD" w:rsidRDefault="00777BAD" w:rsidP="00777BAD">
            <w:pPr>
              <w:pStyle w:val="Nzev"/>
              <w:jc w:val="center"/>
            </w:pPr>
            <w:r w:rsidRPr="00777BAD">
              <w:lastRenderedPageBreak/>
              <w:t>2,29</w:t>
            </w:r>
          </w:p>
        </w:tc>
        <w:tc>
          <w:tcPr>
            <w:tcW w:w="567" w:type="dxa"/>
            <w:shd w:val="clear" w:color="000000" w:fill="FFFFFF"/>
            <w:tcMar>
              <w:top w:w="17" w:type="dxa"/>
              <w:left w:w="17" w:type="dxa"/>
              <w:bottom w:w="0" w:type="dxa"/>
              <w:right w:w="17" w:type="dxa"/>
            </w:tcMar>
            <w:vAlign w:val="center"/>
            <w:hideMark/>
          </w:tcPr>
          <w:p w:rsidR="007F34AD" w:rsidRDefault="007F34AD" w:rsidP="00777BAD">
            <w:pPr>
              <w:pStyle w:val="Nzev"/>
              <w:jc w:val="center"/>
            </w:pPr>
          </w:p>
          <w:p w:rsidR="00777BAD" w:rsidRPr="00777BAD" w:rsidRDefault="00777BAD" w:rsidP="00777BAD">
            <w:pPr>
              <w:pStyle w:val="Nzev"/>
              <w:jc w:val="center"/>
            </w:pPr>
            <w:r w:rsidRPr="00777BAD">
              <w:lastRenderedPageBreak/>
              <w:t>2,34</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lastRenderedPageBreak/>
              <w:t>Ve škole existuje čtenářsky podnětné prostředí (čtenářské koutky, nástěnky, místo pro vystavování apod.)</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61,1%</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11,1%</w:t>
            </w:r>
          </w:p>
        </w:tc>
        <w:tc>
          <w:tcPr>
            <w:tcW w:w="851" w:type="dxa"/>
            <w:shd w:val="clear" w:color="000000" w:fill="E6B9B8"/>
            <w:tcMar>
              <w:top w:w="17" w:type="dxa"/>
              <w:left w:w="17" w:type="dxa"/>
              <w:bottom w:w="0" w:type="dxa"/>
              <w:right w:w="17" w:type="dxa"/>
            </w:tcMar>
            <w:vAlign w:val="center"/>
            <w:hideMark/>
          </w:tcPr>
          <w:p w:rsidR="00777BAD" w:rsidRPr="00777BAD" w:rsidRDefault="00777BAD" w:rsidP="00777BAD">
            <w:pPr>
              <w:pStyle w:val="Nzev"/>
              <w:jc w:val="center"/>
            </w:pPr>
            <w:r w:rsidRPr="00777BAD">
              <w:t>2,83</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2,86</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2,86</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Škola disponuje dostatečným technickým a materiálním zabezpečením v oblasti čtenářské pregramotnosti</w:t>
            </w:r>
          </w:p>
        </w:tc>
        <w:tc>
          <w:tcPr>
            <w:tcW w:w="851" w:type="dxa"/>
            <w:shd w:val="clear" w:color="000000" w:fill="D7E4BC"/>
            <w:tcMar>
              <w:top w:w="17" w:type="dxa"/>
              <w:left w:w="17" w:type="dxa"/>
              <w:bottom w:w="0" w:type="dxa"/>
              <w:right w:w="17" w:type="dxa"/>
            </w:tcMar>
            <w:vAlign w:val="center"/>
            <w:hideMark/>
          </w:tcPr>
          <w:p w:rsidR="00777BAD" w:rsidRPr="00777BAD" w:rsidRDefault="00777BAD" w:rsidP="00777BAD">
            <w:pPr>
              <w:pStyle w:val="Nzev"/>
              <w:jc w:val="center"/>
            </w:pPr>
            <w:r w:rsidRPr="00777BAD">
              <w:t>77,8%</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11,1%</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2,67</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2,56</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2,57</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Ve škole jsou využívány interaktivní metody a pomůcky v oblasti rozvoje čtenářské pregramotnosti</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55,6%</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22,2%</w:t>
            </w:r>
          </w:p>
        </w:tc>
        <w:tc>
          <w:tcPr>
            <w:tcW w:w="851" w:type="dxa"/>
            <w:shd w:val="clear" w:color="000000" w:fill="E6B9B8"/>
            <w:tcMar>
              <w:top w:w="17" w:type="dxa"/>
              <w:left w:w="17" w:type="dxa"/>
              <w:bottom w:w="0" w:type="dxa"/>
              <w:right w:w="17" w:type="dxa"/>
            </w:tcMar>
            <w:vAlign w:val="center"/>
            <w:hideMark/>
          </w:tcPr>
          <w:p w:rsidR="00777BAD" w:rsidRPr="00777BAD" w:rsidRDefault="00777BAD" w:rsidP="00777BAD">
            <w:pPr>
              <w:pStyle w:val="Nzev"/>
              <w:jc w:val="center"/>
            </w:pPr>
            <w:r w:rsidRPr="00777BAD">
              <w:t>1,94</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2,04</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2,02</w:t>
            </w:r>
          </w:p>
        </w:tc>
      </w:tr>
      <w:tr w:rsidR="00777BAD" w:rsidRPr="00777BAD" w:rsidTr="00777BAD">
        <w:trPr>
          <w:trHeight w:val="227"/>
        </w:trPr>
        <w:tc>
          <w:tcPr>
            <w:tcW w:w="5120" w:type="dxa"/>
            <w:shd w:val="clear" w:color="auto" w:fill="auto"/>
            <w:tcMar>
              <w:top w:w="17" w:type="dxa"/>
              <w:left w:w="151" w:type="dxa"/>
              <w:bottom w:w="0" w:type="dxa"/>
              <w:right w:w="17" w:type="dxa"/>
            </w:tcMar>
            <w:vAlign w:val="center"/>
            <w:hideMark/>
          </w:tcPr>
          <w:p w:rsidR="00777BAD" w:rsidRPr="00777BAD" w:rsidRDefault="00777BAD" w:rsidP="00777BAD">
            <w:pPr>
              <w:pStyle w:val="Nzev"/>
              <w:ind w:left="-134"/>
              <w:jc w:val="left"/>
            </w:pPr>
            <w:r w:rsidRPr="00777BAD">
              <w:t>Škola pravidelně nakupuje aktuální beletrii a další literaturu, multimédia pro rozvoj čtenářské pregramotnosti</w:t>
            </w:r>
          </w:p>
        </w:tc>
        <w:tc>
          <w:tcPr>
            <w:tcW w:w="851" w:type="dxa"/>
            <w:shd w:val="clear" w:color="000000" w:fill="D7E4BC"/>
            <w:tcMar>
              <w:top w:w="17" w:type="dxa"/>
              <w:left w:w="17" w:type="dxa"/>
              <w:bottom w:w="0" w:type="dxa"/>
              <w:right w:w="17" w:type="dxa"/>
            </w:tcMar>
            <w:vAlign w:val="center"/>
            <w:hideMark/>
          </w:tcPr>
          <w:p w:rsidR="00777BAD" w:rsidRPr="00777BAD" w:rsidRDefault="00777BAD" w:rsidP="00777BAD">
            <w:pPr>
              <w:pStyle w:val="Nzev"/>
              <w:jc w:val="center"/>
            </w:pPr>
            <w:r w:rsidRPr="00777BAD">
              <w:t>77,8%</w:t>
            </w:r>
          </w:p>
        </w:tc>
        <w:tc>
          <w:tcPr>
            <w:tcW w:w="992"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11,1%</w:t>
            </w:r>
          </w:p>
        </w:tc>
        <w:tc>
          <w:tcPr>
            <w:tcW w:w="851"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2,83</w:t>
            </w:r>
          </w:p>
        </w:tc>
        <w:tc>
          <w:tcPr>
            <w:tcW w:w="708"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2,77</w:t>
            </w:r>
          </w:p>
        </w:tc>
        <w:tc>
          <w:tcPr>
            <w:tcW w:w="567" w:type="dxa"/>
            <w:shd w:val="clear" w:color="000000" w:fill="FFFFFF"/>
            <w:tcMar>
              <w:top w:w="17" w:type="dxa"/>
              <w:left w:w="17" w:type="dxa"/>
              <w:bottom w:w="0" w:type="dxa"/>
              <w:right w:w="17" w:type="dxa"/>
            </w:tcMar>
            <w:vAlign w:val="center"/>
            <w:hideMark/>
          </w:tcPr>
          <w:p w:rsidR="00777BAD" w:rsidRPr="00777BAD" w:rsidRDefault="00777BAD" w:rsidP="00777BAD">
            <w:pPr>
              <w:pStyle w:val="Nzev"/>
              <w:jc w:val="center"/>
            </w:pPr>
            <w:r w:rsidRPr="00777BAD">
              <w:t>2,73</w:t>
            </w:r>
          </w:p>
        </w:tc>
      </w:tr>
    </w:tbl>
    <w:p w:rsidR="00E6133C" w:rsidRPr="00192581" w:rsidRDefault="00466DA0" w:rsidP="00E6133C">
      <w:pPr>
        <w:pStyle w:val="Bezmezer"/>
        <w:rPr>
          <w:b/>
          <w:lang w:eastAsia="cs-CZ"/>
        </w:rPr>
      </w:pPr>
      <w:r>
        <w:rPr>
          <w:lang w:eastAsia="cs-CZ"/>
        </w:rPr>
        <w:t>Hned ve třech případech</w:t>
      </w:r>
      <w:r w:rsidR="00E6133C" w:rsidRPr="00466DA0">
        <w:rPr>
          <w:lang w:eastAsia="cs-CZ"/>
        </w:rPr>
        <w:t xml:space="preserve"> </w:t>
      </w:r>
      <w:r>
        <w:rPr>
          <w:lang w:eastAsia="cs-CZ"/>
        </w:rPr>
        <w:t>opět</w:t>
      </w:r>
      <w:r w:rsidR="00E6133C" w:rsidRPr="00466DA0">
        <w:rPr>
          <w:lang w:eastAsia="cs-CZ"/>
        </w:rPr>
        <w:t xml:space="preserve"> dochází k </w:t>
      </w:r>
      <w:r w:rsidR="00E6133C" w:rsidRPr="00466DA0">
        <w:rPr>
          <w:b/>
          <w:lang w:eastAsia="cs-CZ"/>
        </w:rPr>
        <w:t xml:space="preserve">rozporům při konfrontaci s hodnotami, </w:t>
      </w:r>
      <w:r w:rsidR="00E6133C" w:rsidRPr="00466DA0">
        <w:rPr>
          <w:lang w:eastAsia="cs-CZ"/>
        </w:rPr>
        <w:t>které představují posouzení</w:t>
      </w:r>
      <w:r w:rsidR="00E6133C" w:rsidRPr="00466DA0">
        <w:rPr>
          <w:b/>
          <w:lang w:eastAsia="cs-CZ"/>
        </w:rPr>
        <w:t xml:space="preserve"> současného stavu</w:t>
      </w:r>
      <w:r w:rsidR="00E6133C" w:rsidRPr="00466DA0">
        <w:rPr>
          <w:lang w:eastAsia="cs-CZ"/>
        </w:rPr>
        <w:t xml:space="preserve"> daných témat.</w:t>
      </w:r>
      <w:r>
        <w:rPr>
          <w:lang w:eastAsia="cs-CZ"/>
        </w:rPr>
        <w:t xml:space="preserve"> </w:t>
      </w:r>
      <w:r w:rsidR="00F6381D">
        <w:rPr>
          <w:lang w:eastAsia="cs-CZ"/>
        </w:rPr>
        <w:t xml:space="preserve">Čísla se opět blíží stavu „Realizovaná oblast, </w:t>
      </w:r>
      <w:r w:rsidR="00F6381D" w:rsidRPr="00EB6DE6">
        <w:rPr>
          <w:lang w:eastAsia="cs-CZ"/>
        </w:rPr>
        <w:t>tzn. funk</w:t>
      </w:r>
      <w:r w:rsidR="00F6381D" w:rsidRPr="00EB6DE6">
        <w:rPr>
          <w:rFonts w:hint="eastAsia"/>
          <w:lang w:eastAsia="cs-CZ"/>
        </w:rPr>
        <w:t>č</w:t>
      </w:r>
      <w:r w:rsidR="00F6381D" w:rsidRPr="00EB6DE6">
        <w:rPr>
          <w:lang w:eastAsia="cs-CZ"/>
        </w:rPr>
        <w:t xml:space="preserve">ní </w:t>
      </w:r>
      <w:r w:rsidR="00F6381D" w:rsidRPr="00EB6DE6">
        <w:rPr>
          <w:rFonts w:hint="eastAsia"/>
          <w:lang w:eastAsia="cs-CZ"/>
        </w:rPr>
        <w:t>čá</w:t>
      </w:r>
      <w:r w:rsidR="00F6381D" w:rsidRPr="00EB6DE6">
        <w:rPr>
          <w:lang w:eastAsia="cs-CZ"/>
        </w:rPr>
        <w:t>sti systému realizovány na základní</w:t>
      </w:r>
      <w:r w:rsidR="00F6381D">
        <w:rPr>
          <w:lang w:eastAsia="cs-CZ"/>
        </w:rPr>
        <w:t xml:space="preserve"> úrovni, je prostor na </w:t>
      </w:r>
      <w:r w:rsidR="00F6381D" w:rsidRPr="00550181">
        <w:rPr>
          <w:lang w:eastAsia="cs-CZ"/>
        </w:rPr>
        <w:t>zlepšení“</w:t>
      </w:r>
      <w:r w:rsidR="00F6381D">
        <w:rPr>
          <w:lang w:eastAsia="cs-CZ"/>
        </w:rPr>
        <w:t>. Za této okolnosti jsou však všechny tři čísla i přes svou vysokou hodnotu nižší než na úrovni kraje i ČR.</w:t>
      </w:r>
      <w:r w:rsidR="005B467C">
        <w:rPr>
          <w:lang w:eastAsia="cs-CZ"/>
        </w:rPr>
        <w:t xml:space="preserve"> Hodnoty jsou tedy samy o sobě vysoké, ale pakliže je zrelativizujeme nadřazenými územními celky, vychází ještě jako nejnižší a tedy v souladu s vysokou prioritou daných témat.</w:t>
      </w:r>
    </w:p>
    <w:p w:rsidR="00E6133C" w:rsidRPr="00192581" w:rsidRDefault="00192581" w:rsidP="00E6133C">
      <w:pPr>
        <w:pStyle w:val="Bezmezer"/>
        <w:rPr>
          <w:lang w:eastAsia="cs-CZ"/>
        </w:rPr>
      </w:pPr>
      <w:r w:rsidRPr="00192581">
        <w:rPr>
          <w:lang w:eastAsia="cs-CZ"/>
        </w:rPr>
        <w:t>D</w:t>
      </w:r>
      <w:r w:rsidR="00E6133C" w:rsidRPr="00192581">
        <w:rPr>
          <w:lang w:eastAsia="cs-CZ"/>
        </w:rPr>
        <w:t xml:space="preserve">alší sebrané informace </w:t>
      </w:r>
      <w:r w:rsidRPr="00192581">
        <w:rPr>
          <w:lang w:eastAsia="cs-CZ"/>
        </w:rPr>
        <w:t>znovu vnášejí více světla do výše řečeného</w:t>
      </w:r>
      <w:r w:rsidR="00E6133C" w:rsidRPr="00192581">
        <w:rPr>
          <w:lang w:eastAsia="cs-CZ"/>
        </w:rPr>
        <w:t xml:space="preserve">: </w:t>
      </w:r>
    </w:p>
    <w:p w:rsidR="00E6133C" w:rsidRPr="00192581" w:rsidRDefault="005B467C" w:rsidP="00E6133C">
      <w:pPr>
        <w:pStyle w:val="Nzev"/>
        <w:numPr>
          <w:ilvl w:val="0"/>
          <w:numId w:val="33"/>
        </w:numPr>
        <w:rPr>
          <w:rFonts w:eastAsia="Times New Roman"/>
          <w:lang w:eastAsia="cs-CZ"/>
        </w:rPr>
      </w:pPr>
      <w:r w:rsidRPr="00192581">
        <w:rPr>
          <w:rFonts w:eastAsia="Times New Roman"/>
          <w:lang w:eastAsia="cs-CZ"/>
        </w:rPr>
        <w:t>Nedostatek interaktivních metod a pom</w:t>
      </w:r>
      <w:r w:rsidRPr="00192581">
        <w:rPr>
          <w:rFonts w:eastAsia="Times New Roman" w:hint="eastAsia"/>
          <w:lang w:eastAsia="cs-CZ"/>
        </w:rPr>
        <w:t>ů</w:t>
      </w:r>
      <w:r w:rsidRPr="00192581">
        <w:rPr>
          <w:rFonts w:eastAsia="Times New Roman"/>
          <w:lang w:eastAsia="cs-CZ"/>
        </w:rPr>
        <w:t xml:space="preserve">cek pro rozvoj pregramotnosti </w:t>
      </w:r>
      <w:r w:rsidR="00E6133C" w:rsidRPr="00192581">
        <w:rPr>
          <w:rFonts w:eastAsia="Times New Roman"/>
          <w:lang w:eastAsia="cs-CZ"/>
        </w:rPr>
        <w:t>(</w:t>
      </w:r>
      <w:r w:rsidRPr="00192581">
        <w:rPr>
          <w:rFonts w:eastAsia="Times New Roman"/>
          <w:lang w:eastAsia="cs-CZ"/>
        </w:rPr>
        <w:t>55</w:t>
      </w:r>
      <w:r w:rsidR="00E6133C" w:rsidRPr="00192581">
        <w:rPr>
          <w:rFonts w:eastAsia="Times New Roman"/>
          <w:lang w:eastAsia="cs-CZ"/>
        </w:rPr>
        <w:t>,</w:t>
      </w:r>
      <w:r w:rsidRPr="00192581">
        <w:rPr>
          <w:rFonts w:eastAsia="Times New Roman"/>
          <w:lang w:eastAsia="cs-CZ"/>
        </w:rPr>
        <w:t>6</w:t>
      </w:r>
      <w:r w:rsidR="00E6133C" w:rsidRPr="00192581">
        <w:rPr>
          <w:rFonts w:eastAsia="Times New Roman"/>
          <w:lang w:eastAsia="cs-CZ"/>
        </w:rPr>
        <w:t xml:space="preserve"> %)</w:t>
      </w:r>
    </w:p>
    <w:p w:rsidR="00E6133C" w:rsidRPr="00192581" w:rsidRDefault="008B2E39" w:rsidP="00E6133C">
      <w:pPr>
        <w:pStyle w:val="Nzev"/>
        <w:numPr>
          <w:ilvl w:val="0"/>
          <w:numId w:val="33"/>
        </w:numPr>
        <w:rPr>
          <w:rFonts w:eastAsia="Times New Roman"/>
          <w:lang w:eastAsia="cs-CZ"/>
        </w:rPr>
      </w:pPr>
      <w:r w:rsidRPr="00192581">
        <w:rPr>
          <w:rFonts w:eastAsia="Times New Roman"/>
          <w:lang w:eastAsia="cs-CZ"/>
        </w:rPr>
        <w:t>Nedostatek stabilní finan</w:t>
      </w:r>
      <w:r w:rsidRPr="00192581">
        <w:rPr>
          <w:rFonts w:eastAsia="Times New Roman" w:hint="eastAsia"/>
          <w:lang w:eastAsia="cs-CZ"/>
        </w:rPr>
        <w:t>č</w:t>
      </w:r>
      <w:r w:rsidRPr="00192581">
        <w:rPr>
          <w:rFonts w:eastAsia="Times New Roman"/>
          <w:lang w:eastAsia="cs-CZ"/>
        </w:rPr>
        <w:t>ní podpory pro rozvoj p</w:t>
      </w:r>
      <w:r w:rsidRPr="00192581">
        <w:rPr>
          <w:rFonts w:eastAsia="Times New Roman" w:hint="eastAsia"/>
          <w:lang w:eastAsia="cs-CZ"/>
        </w:rPr>
        <w:t>ří</w:t>
      </w:r>
      <w:r w:rsidRPr="00192581">
        <w:rPr>
          <w:rFonts w:eastAsia="Times New Roman"/>
          <w:lang w:eastAsia="cs-CZ"/>
        </w:rPr>
        <w:t>slušné pregramotnosti (nedostate</w:t>
      </w:r>
      <w:r w:rsidRPr="00192581">
        <w:rPr>
          <w:rFonts w:eastAsia="Times New Roman" w:hint="eastAsia"/>
          <w:lang w:eastAsia="cs-CZ"/>
        </w:rPr>
        <w:t>č</w:t>
      </w:r>
      <w:r w:rsidRPr="00192581">
        <w:rPr>
          <w:rFonts w:eastAsia="Times New Roman"/>
          <w:lang w:eastAsia="cs-CZ"/>
        </w:rPr>
        <w:t>né materiáln</w:t>
      </w:r>
      <w:r w:rsidRPr="00192581">
        <w:rPr>
          <w:rFonts w:eastAsia="Times New Roman" w:hint="eastAsia"/>
          <w:lang w:eastAsia="cs-CZ"/>
        </w:rPr>
        <w:t>ě</w:t>
      </w:r>
      <w:r w:rsidRPr="00192581">
        <w:rPr>
          <w:rFonts w:eastAsia="Times New Roman"/>
          <w:lang w:eastAsia="cs-CZ"/>
        </w:rPr>
        <w:t xml:space="preserve"> technické zázemí, chyb</w:t>
      </w:r>
      <w:r w:rsidRPr="00192581">
        <w:rPr>
          <w:rFonts w:eastAsia="Times New Roman" w:hint="eastAsia"/>
          <w:lang w:eastAsia="cs-CZ"/>
        </w:rPr>
        <w:t>ě</w:t>
      </w:r>
      <w:r w:rsidRPr="00192581">
        <w:rPr>
          <w:rFonts w:eastAsia="Times New Roman"/>
          <w:lang w:eastAsia="cs-CZ"/>
        </w:rPr>
        <w:t>jící finance na inovace a vým</w:t>
      </w:r>
      <w:r w:rsidRPr="00192581">
        <w:rPr>
          <w:rFonts w:eastAsia="Times New Roman" w:hint="eastAsia"/>
          <w:lang w:eastAsia="cs-CZ"/>
        </w:rPr>
        <w:t>ě</w:t>
      </w:r>
      <w:r w:rsidRPr="00192581">
        <w:rPr>
          <w:rFonts w:eastAsia="Times New Roman"/>
          <w:lang w:eastAsia="cs-CZ"/>
        </w:rPr>
        <w:t>nu pom</w:t>
      </w:r>
      <w:r w:rsidRPr="00192581">
        <w:rPr>
          <w:rFonts w:eastAsia="Times New Roman" w:hint="eastAsia"/>
          <w:lang w:eastAsia="cs-CZ"/>
        </w:rPr>
        <w:t>ů</w:t>
      </w:r>
      <w:r w:rsidRPr="00192581">
        <w:rPr>
          <w:rFonts w:eastAsia="Times New Roman"/>
          <w:lang w:eastAsia="cs-CZ"/>
        </w:rPr>
        <w:t xml:space="preserve">cek k rozvoji </w:t>
      </w:r>
      <w:proofErr w:type="spellStart"/>
      <w:r w:rsidRPr="00192581">
        <w:rPr>
          <w:rFonts w:eastAsia="Times New Roman"/>
          <w:lang w:eastAsia="cs-CZ"/>
        </w:rPr>
        <w:t>pregramotností</w:t>
      </w:r>
      <w:proofErr w:type="spellEnd"/>
      <w:r w:rsidRPr="00192581">
        <w:rPr>
          <w:rFonts w:eastAsia="Times New Roman"/>
          <w:lang w:eastAsia="cs-CZ"/>
        </w:rPr>
        <w:t>, nedostate</w:t>
      </w:r>
      <w:r w:rsidRPr="00192581">
        <w:rPr>
          <w:rFonts w:eastAsia="Times New Roman" w:hint="eastAsia"/>
          <w:lang w:eastAsia="cs-CZ"/>
        </w:rPr>
        <w:t>č</w:t>
      </w:r>
      <w:r w:rsidRPr="00192581">
        <w:rPr>
          <w:rFonts w:eastAsia="Times New Roman"/>
          <w:lang w:eastAsia="cs-CZ"/>
        </w:rPr>
        <w:t>ný po</w:t>
      </w:r>
      <w:r w:rsidRPr="00192581">
        <w:rPr>
          <w:rFonts w:eastAsia="Times New Roman" w:hint="eastAsia"/>
          <w:lang w:eastAsia="cs-CZ"/>
        </w:rPr>
        <w:t>č</w:t>
      </w:r>
      <w:r w:rsidRPr="00192581">
        <w:rPr>
          <w:rFonts w:eastAsia="Times New Roman"/>
          <w:lang w:eastAsia="cs-CZ"/>
        </w:rPr>
        <w:t>et pom</w:t>
      </w:r>
      <w:r w:rsidRPr="00192581">
        <w:rPr>
          <w:rFonts w:eastAsia="Times New Roman" w:hint="eastAsia"/>
          <w:lang w:eastAsia="cs-CZ"/>
        </w:rPr>
        <w:t>ů</w:t>
      </w:r>
      <w:r w:rsidRPr="00192581">
        <w:rPr>
          <w:rFonts w:eastAsia="Times New Roman"/>
          <w:lang w:eastAsia="cs-CZ"/>
        </w:rPr>
        <w:t>cek apod.)</w:t>
      </w:r>
      <w:r w:rsidR="00E6133C" w:rsidRPr="00192581">
        <w:rPr>
          <w:rFonts w:eastAsia="Times New Roman"/>
          <w:lang w:eastAsia="cs-CZ"/>
        </w:rPr>
        <w:t xml:space="preserve"> (</w:t>
      </w:r>
      <w:r w:rsidRPr="00192581">
        <w:rPr>
          <w:rFonts w:eastAsia="Times New Roman"/>
          <w:lang w:eastAsia="cs-CZ"/>
        </w:rPr>
        <w:t>50</w:t>
      </w:r>
      <w:r w:rsidR="00E6133C" w:rsidRPr="00192581">
        <w:rPr>
          <w:rFonts w:eastAsia="Times New Roman"/>
          <w:lang w:eastAsia="cs-CZ"/>
        </w:rPr>
        <w:t xml:space="preserve"> %)</w:t>
      </w:r>
    </w:p>
    <w:p w:rsidR="00E6133C" w:rsidRPr="00192581" w:rsidRDefault="008B2E39" w:rsidP="00E6133C">
      <w:pPr>
        <w:pStyle w:val="Nzev"/>
        <w:numPr>
          <w:ilvl w:val="0"/>
          <w:numId w:val="33"/>
        </w:numPr>
        <w:rPr>
          <w:rFonts w:eastAsia="Times New Roman"/>
          <w:lang w:eastAsia="cs-CZ"/>
        </w:rPr>
      </w:pPr>
      <w:r w:rsidRPr="00192581">
        <w:rPr>
          <w:rFonts w:eastAsia="Times New Roman"/>
          <w:lang w:eastAsia="cs-CZ"/>
        </w:rPr>
        <w:t>Nedostatek p</w:t>
      </w:r>
      <w:r w:rsidRPr="00192581">
        <w:rPr>
          <w:rFonts w:eastAsia="Times New Roman" w:hint="eastAsia"/>
          <w:lang w:eastAsia="cs-CZ"/>
        </w:rPr>
        <w:t>ří</w:t>
      </w:r>
      <w:r w:rsidRPr="00192581">
        <w:rPr>
          <w:rFonts w:eastAsia="Times New Roman"/>
          <w:lang w:eastAsia="cs-CZ"/>
        </w:rPr>
        <w:t>ležitostí ke vzd</w:t>
      </w:r>
      <w:r w:rsidRPr="00192581">
        <w:rPr>
          <w:rFonts w:eastAsia="Times New Roman" w:hint="eastAsia"/>
          <w:lang w:eastAsia="cs-CZ"/>
        </w:rPr>
        <w:t>ě</w:t>
      </w:r>
      <w:r w:rsidRPr="00192581">
        <w:rPr>
          <w:rFonts w:eastAsia="Times New Roman"/>
          <w:lang w:eastAsia="cs-CZ"/>
        </w:rPr>
        <w:t>lávání pedagogických pracovník</w:t>
      </w:r>
      <w:r w:rsidRPr="00192581">
        <w:rPr>
          <w:rFonts w:eastAsia="Times New Roman" w:hint="eastAsia"/>
          <w:lang w:eastAsia="cs-CZ"/>
        </w:rPr>
        <w:t>ů</w:t>
      </w:r>
      <w:r w:rsidRPr="00192581">
        <w:rPr>
          <w:rFonts w:eastAsia="Times New Roman"/>
          <w:lang w:eastAsia="cs-CZ"/>
        </w:rPr>
        <w:t xml:space="preserve"> v oblasti p</w:t>
      </w:r>
      <w:r w:rsidRPr="00192581">
        <w:rPr>
          <w:rFonts w:eastAsia="Times New Roman" w:hint="eastAsia"/>
          <w:lang w:eastAsia="cs-CZ"/>
        </w:rPr>
        <w:t>ří</w:t>
      </w:r>
      <w:r w:rsidRPr="00192581">
        <w:rPr>
          <w:rFonts w:eastAsia="Times New Roman"/>
          <w:lang w:eastAsia="cs-CZ"/>
        </w:rPr>
        <w:t>slušné pregramotnosti</w:t>
      </w:r>
      <w:r w:rsidR="00E6133C" w:rsidRPr="00192581">
        <w:rPr>
          <w:rFonts w:eastAsia="Times New Roman"/>
          <w:lang w:eastAsia="cs-CZ"/>
        </w:rPr>
        <w:t xml:space="preserve"> (4</w:t>
      </w:r>
      <w:r w:rsidRPr="00192581">
        <w:rPr>
          <w:rFonts w:eastAsia="Times New Roman"/>
          <w:lang w:eastAsia="cs-CZ"/>
        </w:rPr>
        <w:t>4</w:t>
      </w:r>
      <w:r w:rsidR="00E6133C" w:rsidRPr="00192581">
        <w:rPr>
          <w:rFonts w:eastAsia="Times New Roman"/>
          <w:lang w:eastAsia="cs-CZ"/>
        </w:rPr>
        <w:t>,4 %)</w:t>
      </w:r>
    </w:p>
    <w:p w:rsidR="00E6133C" w:rsidRPr="00192581" w:rsidRDefault="00E6133C" w:rsidP="00E6133C">
      <w:pPr>
        <w:pStyle w:val="Bezmezer"/>
        <w:rPr>
          <w:lang w:eastAsia="cs-CZ"/>
        </w:rPr>
      </w:pPr>
      <w:r w:rsidRPr="00192581">
        <w:rPr>
          <w:lang w:eastAsia="cs-CZ"/>
        </w:rPr>
        <w:t>Ale i:</w:t>
      </w:r>
    </w:p>
    <w:p w:rsidR="00E6133C" w:rsidRPr="00192581" w:rsidRDefault="00E6133C" w:rsidP="00E6133C">
      <w:pPr>
        <w:pStyle w:val="Nzev"/>
        <w:numPr>
          <w:ilvl w:val="0"/>
          <w:numId w:val="33"/>
        </w:numPr>
        <w:rPr>
          <w:lang w:eastAsia="cs-CZ"/>
        </w:rPr>
      </w:pPr>
      <w:r w:rsidRPr="00192581">
        <w:rPr>
          <w:rFonts w:eastAsia="Times New Roman"/>
          <w:lang w:eastAsia="cs-CZ"/>
        </w:rPr>
        <w:t>Nezájem ze strany rodi</w:t>
      </w:r>
      <w:r w:rsidRPr="00192581">
        <w:rPr>
          <w:rFonts w:eastAsia="Times New Roman" w:hint="eastAsia"/>
          <w:lang w:eastAsia="cs-CZ"/>
        </w:rPr>
        <w:t>čů</w:t>
      </w:r>
      <w:r w:rsidRPr="00192581">
        <w:rPr>
          <w:rFonts w:eastAsia="Times New Roman"/>
          <w:lang w:eastAsia="cs-CZ"/>
        </w:rPr>
        <w:t>. (</w:t>
      </w:r>
      <w:r w:rsidR="00B30DC8" w:rsidRPr="00192581">
        <w:rPr>
          <w:rFonts w:eastAsia="Times New Roman"/>
          <w:lang w:eastAsia="cs-CZ"/>
        </w:rPr>
        <w:t>38</w:t>
      </w:r>
      <w:r w:rsidRPr="00192581">
        <w:rPr>
          <w:rFonts w:eastAsia="Times New Roman"/>
          <w:lang w:eastAsia="cs-CZ"/>
        </w:rPr>
        <w:t>,</w:t>
      </w:r>
      <w:r w:rsidR="00B30DC8" w:rsidRPr="00192581">
        <w:rPr>
          <w:rFonts w:eastAsia="Times New Roman"/>
          <w:lang w:eastAsia="cs-CZ"/>
        </w:rPr>
        <w:t>9</w:t>
      </w:r>
      <w:r w:rsidRPr="00192581">
        <w:rPr>
          <w:rFonts w:eastAsia="Times New Roman"/>
          <w:lang w:eastAsia="cs-CZ"/>
        </w:rPr>
        <w:t xml:space="preserve"> %)</w:t>
      </w:r>
    </w:p>
    <w:p w:rsidR="00E6133C" w:rsidRPr="00192581" w:rsidRDefault="00E6133C" w:rsidP="00E6133C">
      <w:pPr>
        <w:pStyle w:val="Bezmezer"/>
      </w:pPr>
      <w:r w:rsidRPr="00192581">
        <w:rPr>
          <w:lang w:eastAsia="cs-CZ"/>
        </w:rPr>
        <w:t xml:space="preserve">Kromě </w:t>
      </w:r>
      <w:r w:rsidRPr="00192581">
        <w:rPr>
          <w:b/>
          <w:lang w:eastAsia="cs-CZ"/>
        </w:rPr>
        <w:t>absence výraznějších</w:t>
      </w:r>
      <w:r w:rsidRPr="00192581">
        <w:rPr>
          <w:lang w:eastAsia="cs-CZ"/>
        </w:rPr>
        <w:t xml:space="preserve"> </w:t>
      </w:r>
      <w:r w:rsidRPr="00192581">
        <w:rPr>
          <w:b/>
          <w:lang w:eastAsia="cs-CZ"/>
        </w:rPr>
        <w:t>finančních prostředků</w:t>
      </w:r>
      <w:r w:rsidR="00192581" w:rsidRPr="00192581">
        <w:rPr>
          <w:b/>
          <w:lang w:eastAsia="cs-CZ"/>
        </w:rPr>
        <w:t>,</w:t>
      </w:r>
      <w:r w:rsidRPr="00192581">
        <w:rPr>
          <w:b/>
          <w:lang w:eastAsia="cs-CZ"/>
        </w:rPr>
        <w:t xml:space="preserve"> </w:t>
      </w:r>
      <w:r w:rsidRPr="00192581">
        <w:rPr>
          <w:lang w:eastAsia="cs-CZ"/>
        </w:rPr>
        <w:t xml:space="preserve">zde poprvé výrazněji vyvstává i další zásadní blok pro </w:t>
      </w:r>
      <w:r w:rsidR="00192581" w:rsidRPr="00192581">
        <w:rPr>
          <w:lang w:eastAsia="cs-CZ"/>
        </w:rPr>
        <w:t>nadcházející</w:t>
      </w:r>
      <w:r w:rsidRPr="00192581">
        <w:rPr>
          <w:lang w:eastAsia="cs-CZ"/>
        </w:rPr>
        <w:t xml:space="preserve"> diskuze a totiž </w:t>
      </w:r>
      <w:r w:rsidRPr="00192581">
        <w:rPr>
          <w:b/>
          <w:lang w:eastAsia="cs-CZ"/>
        </w:rPr>
        <w:t>zpětná vazba ze strany rodičů</w:t>
      </w:r>
      <w:r w:rsidRPr="00192581">
        <w:rPr>
          <w:lang w:eastAsia="cs-CZ"/>
        </w:rPr>
        <w:t xml:space="preserve">. </w:t>
      </w:r>
      <w:r w:rsidRPr="00192581">
        <w:rPr>
          <w:b/>
          <w:lang w:eastAsia="cs-CZ"/>
        </w:rPr>
        <w:t>Jakékoliv snažení školy bude mít totiž pouze poloviční dopad, nebude-li fungovat smysluplná reciproční vazba ze strany rodičů (a můžeme mluvit i o vazbě na obce, kraje, stát, zájmové organizace apod.)</w:t>
      </w:r>
      <w:r w:rsidRPr="00192581">
        <w:rPr>
          <w:lang w:eastAsia="cs-CZ"/>
        </w:rPr>
        <w:t>.</w:t>
      </w:r>
    </w:p>
    <w:p w:rsidR="00E6133C" w:rsidRPr="00E265C8" w:rsidRDefault="00E6133C" w:rsidP="00E6133C">
      <w:pPr>
        <w:pStyle w:val="Bezmezer"/>
        <w:rPr>
          <w:u w:val="single"/>
        </w:rPr>
      </w:pPr>
      <w:r w:rsidRPr="00E265C8">
        <w:rPr>
          <w:u w:val="single"/>
        </w:rPr>
        <w:t xml:space="preserve">Rozvoj matematické </w:t>
      </w:r>
      <w:r w:rsidR="00E265C8">
        <w:rPr>
          <w:u w:val="single"/>
        </w:rPr>
        <w:t>pre</w:t>
      </w:r>
      <w:r w:rsidRPr="00E265C8">
        <w:rPr>
          <w:u w:val="single"/>
        </w:rPr>
        <w:t>gramotnosti</w:t>
      </w:r>
    </w:p>
    <w:p w:rsidR="00E6133C" w:rsidRPr="0044051C" w:rsidRDefault="0044051C" w:rsidP="00E6133C">
      <w:pPr>
        <w:pStyle w:val="Bezmezer"/>
      </w:pPr>
      <w:r w:rsidRPr="0044051C">
        <w:t>MŠ</w:t>
      </w:r>
      <w:r w:rsidR="00E6133C" w:rsidRPr="0044051C">
        <w:t xml:space="preserve"> </w:t>
      </w:r>
      <w:r w:rsidR="009A5EC1" w:rsidRPr="0044051C">
        <w:t xml:space="preserve">hodnotily </w:t>
      </w:r>
      <w:r w:rsidR="009A5EC1">
        <w:t>v</w:t>
      </w:r>
      <w:r w:rsidR="009A5EC1" w:rsidRPr="0044051C">
        <w:t xml:space="preserve"> rámci oblasti matematické </w:t>
      </w:r>
      <w:r w:rsidR="009A5EC1">
        <w:t>pre</w:t>
      </w:r>
      <w:r w:rsidR="009A5EC1" w:rsidRPr="0044051C">
        <w:t xml:space="preserve">gramotnosti </w:t>
      </w:r>
      <w:r w:rsidRPr="0044051C">
        <w:t>devět</w:t>
      </w:r>
      <w:r w:rsidR="00E6133C" w:rsidRPr="0044051C">
        <w:t xml:space="preserve"> modelových situací. </w:t>
      </w:r>
      <w:r w:rsidR="009A5EC1">
        <w:t xml:space="preserve">Jak je patrné z výčtu níže, </w:t>
      </w:r>
      <w:r w:rsidR="008C126D" w:rsidRPr="00366CCC">
        <w:rPr>
          <w:b/>
        </w:rPr>
        <w:t>MŠ se chtějí</w:t>
      </w:r>
      <w:r w:rsidR="008C126D">
        <w:t xml:space="preserve"> v nejbližší době </w:t>
      </w:r>
      <w:r w:rsidR="008C126D" w:rsidRPr="00366CCC">
        <w:rPr>
          <w:b/>
        </w:rPr>
        <w:t>zaměřit</w:t>
      </w:r>
      <w:r w:rsidR="008C126D">
        <w:t xml:space="preserve"> zejména n</w:t>
      </w:r>
      <w:r w:rsidR="008C126D" w:rsidRPr="00366CCC">
        <w:rPr>
          <w:b/>
        </w:rPr>
        <w:t>a další vzdělávání svých pedagogů</w:t>
      </w:r>
      <w:r w:rsidR="008C126D">
        <w:t xml:space="preserve"> a </w:t>
      </w:r>
      <w:r w:rsidR="008C126D" w:rsidRPr="00366CCC">
        <w:rPr>
          <w:b/>
        </w:rPr>
        <w:t>zajištění odpovídajícího materiálního zázemí</w:t>
      </w:r>
      <w:r w:rsidR="008C126D">
        <w:t>. To vše mají zastřešit zpracované školní vzdělávací programy:</w:t>
      </w:r>
    </w:p>
    <w:p w:rsidR="00E6133C" w:rsidRPr="009A5EC1" w:rsidRDefault="009A5EC1" w:rsidP="00E6133C">
      <w:pPr>
        <w:pStyle w:val="Nzev"/>
        <w:numPr>
          <w:ilvl w:val="0"/>
          <w:numId w:val="32"/>
        </w:numPr>
        <w:rPr>
          <w:rFonts w:eastAsia="Times New Roman"/>
          <w:lang w:eastAsia="cs-CZ"/>
        </w:rPr>
      </w:pPr>
      <w:r w:rsidRPr="009A5EC1">
        <w:t>Učitelé MŠ rozvíjejí své znalosti v oblasti matematické pregramotnosti a využívají je ve výchově (kurzy dalšího vzdělávání, studium literatury aj.)</w:t>
      </w:r>
      <w:r w:rsidR="00E6133C" w:rsidRPr="009A5EC1">
        <w:rPr>
          <w:rFonts w:eastAsia="Times New Roman"/>
          <w:lang w:eastAsia="cs-CZ"/>
        </w:rPr>
        <w:t xml:space="preserve"> (</w:t>
      </w:r>
      <w:r w:rsidRPr="009A5EC1">
        <w:rPr>
          <w:rFonts w:eastAsia="Times New Roman"/>
          <w:lang w:eastAsia="cs-CZ"/>
        </w:rPr>
        <w:t>88</w:t>
      </w:r>
      <w:r w:rsidR="00E6133C" w:rsidRPr="009A5EC1">
        <w:rPr>
          <w:rFonts w:eastAsia="Times New Roman"/>
          <w:lang w:eastAsia="cs-CZ"/>
        </w:rPr>
        <w:t>,</w:t>
      </w:r>
      <w:r w:rsidRPr="009A5EC1">
        <w:rPr>
          <w:rFonts w:eastAsia="Times New Roman"/>
          <w:lang w:eastAsia="cs-CZ"/>
        </w:rPr>
        <w:t>9</w:t>
      </w:r>
      <w:r w:rsidR="00E6133C" w:rsidRPr="009A5EC1">
        <w:rPr>
          <w:rFonts w:eastAsia="Times New Roman"/>
          <w:lang w:eastAsia="cs-CZ"/>
        </w:rPr>
        <w:t xml:space="preserve"> %)</w:t>
      </w:r>
    </w:p>
    <w:p w:rsidR="00E6133C" w:rsidRPr="009A5EC1" w:rsidRDefault="009A5EC1" w:rsidP="00E6133C">
      <w:pPr>
        <w:pStyle w:val="Nzev"/>
        <w:numPr>
          <w:ilvl w:val="0"/>
          <w:numId w:val="32"/>
        </w:numPr>
        <w:rPr>
          <w:rFonts w:eastAsia="Times New Roman"/>
          <w:lang w:eastAsia="cs-CZ"/>
        </w:rPr>
      </w:pPr>
      <w:r w:rsidRPr="009A5EC1">
        <w:t xml:space="preserve">Škola podporuje rozvoj matematické pregramotnosti v rámci školních vzdělávacích programů (má stanoveny konkrétní </w:t>
      </w:r>
      <w:proofErr w:type="gramStart"/>
      <w:r w:rsidRPr="009A5EC1">
        <w:t>cíle)</w:t>
      </w:r>
      <w:r w:rsidR="00E6133C" w:rsidRPr="009A5EC1">
        <w:rPr>
          <w:rFonts w:eastAsia="Times New Roman"/>
          <w:lang w:eastAsia="cs-CZ"/>
        </w:rPr>
        <w:t xml:space="preserve"> (</w:t>
      </w:r>
      <w:r w:rsidRPr="009A5EC1">
        <w:rPr>
          <w:rFonts w:eastAsia="Times New Roman"/>
          <w:lang w:eastAsia="cs-CZ"/>
        </w:rPr>
        <w:t>83,3</w:t>
      </w:r>
      <w:proofErr w:type="gramEnd"/>
      <w:r w:rsidR="00E6133C" w:rsidRPr="009A5EC1">
        <w:rPr>
          <w:rFonts w:eastAsia="Times New Roman"/>
          <w:lang w:eastAsia="cs-CZ"/>
        </w:rPr>
        <w:t xml:space="preserve"> %)</w:t>
      </w:r>
    </w:p>
    <w:p w:rsidR="00E6133C" w:rsidRPr="009A5EC1" w:rsidRDefault="009A5EC1" w:rsidP="009A5EC1">
      <w:pPr>
        <w:pStyle w:val="Nzev"/>
        <w:numPr>
          <w:ilvl w:val="0"/>
          <w:numId w:val="32"/>
        </w:numPr>
        <w:rPr>
          <w:rFonts w:eastAsia="Times New Roman"/>
          <w:lang w:eastAsia="cs-CZ"/>
        </w:rPr>
      </w:pPr>
      <w:r w:rsidRPr="009A5EC1">
        <w:t>Škola disponuje dostatečným technickým a materiálním zabezpečením pro rozvoj matematické pregramotnosti</w:t>
      </w:r>
      <w:r w:rsidR="00E6133C" w:rsidRPr="009A5EC1">
        <w:rPr>
          <w:rFonts w:eastAsia="Times New Roman"/>
          <w:lang w:eastAsia="cs-CZ"/>
        </w:rPr>
        <w:t xml:space="preserve"> (</w:t>
      </w:r>
      <w:r w:rsidRPr="009A5EC1">
        <w:rPr>
          <w:rFonts w:eastAsia="Times New Roman"/>
          <w:lang w:eastAsia="cs-CZ"/>
        </w:rPr>
        <w:t>83</w:t>
      </w:r>
      <w:r w:rsidR="00E6133C" w:rsidRPr="009A5EC1">
        <w:rPr>
          <w:rFonts w:eastAsia="Times New Roman"/>
          <w:lang w:eastAsia="cs-CZ"/>
        </w:rPr>
        <w:t>,</w:t>
      </w:r>
      <w:r w:rsidRPr="009A5EC1">
        <w:rPr>
          <w:rFonts w:eastAsia="Times New Roman"/>
          <w:lang w:eastAsia="cs-CZ"/>
        </w:rPr>
        <w:t>3</w:t>
      </w:r>
      <w:r w:rsidR="00E6133C" w:rsidRPr="009A5EC1">
        <w:rPr>
          <w:rFonts w:eastAsia="Times New Roman"/>
          <w:lang w:eastAsia="cs-CZ"/>
        </w:rPr>
        <w:t xml:space="preserve"> %)</w:t>
      </w:r>
    </w:p>
    <w:p w:rsidR="008C126D" w:rsidRPr="008C126D" w:rsidRDefault="008C126D" w:rsidP="00E6133C">
      <w:pPr>
        <w:pStyle w:val="Bezmezer"/>
        <w:rPr>
          <w:lang w:eastAsia="cs-CZ"/>
        </w:rPr>
      </w:pPr>
      <w:r w:rsidRPr="008C126D">
        <w:rPr>
          <w:lang w:eastAsia="cs-CZ"/>
        </w:rPr>
        <w:t xml:space="preserve">Stejně jako v případě rozvoje pregramotnosti jazykové, i zde je </w:t>
      </w:r>
      <w:r w:rsidRPr="00366CCC">
        <w:rPr>
          <w:b/>
          <w:lang w:eastAsia="cs-CZ"/>
        </w:rPr>
        <w:t>jedna ze dvou nejnižších priorit přiřazena využívání interaktivních metod</w:t>
      </w:r>
      <w:r w:rsidRPr="008C126D">
        <w:rPr>
          <w:lang w:eastAsia="cs-CZ"/>
        </w:rPr>
        <w:t xml:space="preserve">, ale za cenu jejich </w:t>
      </w:r>
      <w:r w:rsidRPr="00366CCC">
        <w:rPr>
          <w:b/>
          <w:lang w:eastAsia="cs-CZ"/>
        </w:rPr>
        <w:t>nejvyššího</w:t>
      </w:r>
      <w:r w:rsidRPr="008C126D">
        <w:rPr>
          <w:lang w:eastAsia="cs-CZ"/>
        </w:rPr>
        <w:t xml:space="preserve"> </w:t>
      </w:r>
      <w:r w:rsidRPr="00366CCC">
        <w:rPr>
          <w:b/>
          <w:lang w:eastAsia="cs-CZ"/>
        </w:rPr>
        <w:t>upřednostňování</w:t>
      </w:r>
      <w:r w:rsidRPr="008C126D">
        <w:rPr>
          <w:lang w:eastAsia="cs-CZ"/>
        </w:rPr>
        <w:t xml:space="preserve"> </w:t>
      </w:r>
      <w:r w:rsidRPr="00366CCC">
        <w:rPr>
          <w:b/>
          <w:lang w:eastAsia="cs-CZ"/>
        </w:rPr>
        <w:t>v dlouhodobějším horizontu</w:t>
      </w:r>
      <w:r>
        <w:rPr>
          <w:lang w:eastAsia="cs-CZ"/>
        </w:rPr>
        <w:t xml:space="preserve"> (na druhé období velmi vysokých 27,8 %)</w:t>
      </w:r>
      <w:r w:rsidRPr="008C126D">
        <w:rPr>
          <w:lang w:eastAsia="cs-CZ"/>
        </w:rPr>
        <w:t>.</w:t>
      </w:r>
      <w:r w:rsidR="00284B2B">
        <w:rPr>
          <w:lang w:eastAsia="cs-CZ"/>
        </w:rPr>
        <w:t xml:space="preserve"> </w:t>
      </w:r>
      <w:r w:rsidR="007E740D" w:rsidRPr="00366CCC">
        <w:rPr>
          <w:b/>
          <w:lang w:eastAsia="cs-CZ"/>
        </w:rPr>
        <w:t>Druhá</w:t>
      </w:r>
      <w:r w:rsidR="00284B2B" w:rsidRPr="00366CCC">
        <w:rPr>
          <w:b/>
          <w:lang w:eastAsia="cs-CZ"/>
        </w:rPr>
        <w:t xml:space="preserve"> nejnižší hodnot</w:t>
      </w:r>
      <w:r w:rsidR="007E740D" w:rsidRPr="00366CCC">
        <w:rPr>
          <w:b/>
          <w:lang w:eastAsia="cs-CZ"/>
        </w:rPr>
        <w:t>a</w:t>
      </w:r>
      <w:r w:rsidR="00284B2B">
        <w:rPr>
          <w:lang w:eastAsia="cs-CZ"/>
        </w:rPr>
        <w:t xml:space="preserve"> pro období 2016 – 18</w:t>
      </w:r>
      <w:r w:rsidR="007E740D">
        <w:rPr>
          <w:lang w:eastAsia="cs-CZ"/>
        </w:rPr>
        <w:t xml:space="preserve"> je</w:t>
      </w:r>
      <w:r w:rsidR="00284B2B">
        <w:rPr>
          <w:lang w:eastAsia="cs-CZ"/>
        </w:rPr>
        <w:t xml:space="preserve"> míra priority </w:t>
      </w:r>
      <w:r w:rsidR="00284B2B" w:rsidRPr="00366CCC">
        <w:rPr>
          <w:b/>
          <w:lang w:eastAsia="cs-CZ"/>
        </w:rPr>
        <w:t>komunikace s rodiči</w:t>
      </w:r>
      <w:r w:rsidR="00284B2B">
        <w:rPr>
          <w:lang w:eastAsia="cs-CZ"/>
        </w:rPr>
        <w:t xml:space="preserve"> (55,6 %)</w:t>
      </w:r>
      <w:r w:rsidR="007E740D">
        <w:rPr>
          <w:lang w:eastAsia="cs-CZ"/>
        </w:rPr>
        <w:t xml:space="preserve">. Ve světle předchozích odstavců se toto číslo jeví jako podhodnocené. Pozitivem budiž, </w:t>
      </w:r>
      <w:r w:rsidR="007E740D">
        <w:rPr>
          <w:lang w:eastAsia="cs-CZ"/>
        </w:rPr>
        <w:lastRenderedPageBreak/>
        <w:t xml:space="preserve">že téma má relativně vysokou prioritu v druhém plánovacím období a rovněž </w:t>
      </w:r>
      <w:r w:rsidR="007E740D" w:rsidRPr="001B3334">
        <w:rPr>
          <w:b/>
          <w:lang w:eastAsia="cs-CZ"/>
        </w:rPr>
        <w:t>zhodnocení současného stavu vychází pozitivně</w:t>
      </w:r>
      <w:r w:rsidR="007E740D">
        <w:rPr>
          <w:lang w:eastAsia="cs-CZ"/>
        </w:rPr>
        <w:t>.</w:t>
      </w:r>
      <w:r w:rsidR="0014715D">
        <w:rPr>
          <w:lang w:eastAsia="cs-CZ"/>
        </w:rPr>
        <w:t xml:space="preserve"> </w:t>
      </w:r>
    </w:p>
    <w:p w:rsidR="00E6133C" w:rsidRPr="00F36AFE" w:rsidRDefault="00E6133C" w:rsidP="00E6133C">
      <w:pPr>
        <w:pStyle w:val="Nadpis5"/>
      </w:pPr>
      <w:r w:rsidRPr="00F36AFE">
        <w:t xml:space="preserve">Tabulka: Matematická </w:t>
      </w:r>
      <w:r w:rsidR="00F36AFE" w:rsidRPr="00F36AFE">
        <w:t>pre</w:t>
      </w:r>
      <w:r w:rsidRPr="00F36AFE">
        <w:t>gramotnost</w:t>
      </w:r>
    </w:p>
    <w:tbl>
      <w:tblPr>
        <w:tblW w:w="9089" w:type="dxa"/>
        <w:tblBorders>
          <w:insideH w:val="single" w:sz="8" w:space="0" w:color="000000"/>
          <w:insideV w:val="single" w:sz="8" w:space="0" w:color="000000"/>
        </w:tblBorders>
        <w:tblLayout w:type="fixed"/>
        <w:tblCellMar>
          <w:left w:w="0" w:type="dxa"/>
          <w:right w:w="0" w:type="dxa"/>
        </w:tblCellMar>
        <w:tblLook w:val="04A0"/>
      </w:tblPr>
      <w:tblGrid>
        <w:gridCol w:w="4837"/>
        <w:gridCol w:w="992"/>
        <w:gridCol w:w="992"/>
        <w:gridCol w:w="993"/>
        <w:gridCol w:w="567"/>
        <w:gridCol w:w="708"/>
      </w:tblGrid>
      <w:tr w:rsidR="00341A7C" w:rsidRPr="00341A7C" w:rsidTr="00341A7C">
        <w:trPr>
          <w:trHeight w:val="227"/>
        </w:trPr>
        <w:tc>
          <w:tcPr>
            <w:tcW w:w="4837" w:type="dxa"/>
            <w:vMerge w:val="restart"/>
            <w:shd w:val="clear" w:color="000000" w:fill="FAC090"/>
            <w:tcMar>
              <w:top w:w="17" w:type="dxa"/>
              <w:left w:w="17" w:type="dxa"/>
              <w:bottom w:w="0" w:type="dxa"/>
              <w:right w:w="17" w:type="dxa"/>
            </w:tcMar>
            <w:vAlign w:val="center"/>
            <w:hideMark/>
          </w:tcPr>
          <w:p w:rsidR="00341A7C" w:rsidRPr="00341A7C" w:rsidRDefault="00341A7C" w:rsidP="00341A7C">
            <w:pPr>
              <w:pStyle w:val="Nzev"/>
              <w:ind w:left="-134"/>
              <w:jc w:val="left"/>
            </w:pPr>
            <w:r w:rsidRPr="00341A7C">
              <w:t> </w:t>
            </w:r>
          </w:p>
        </w:tc>
        <w:tc>
          <w:tcPr>
            <w:tcW w:w="1984" w:type="dxa"/>
            <w:gridSpan w:val="2"/>
            <w:shd w:val="clear" w:color="000000" w:fill="FAC090"/>
            <w:tcMar>
              <w:top w:w="17" w:type="dxa"/>
              <w:left w:w="17" w:type="dxa"/>
              <w:bottom w:w="0" w:type="dxa"/>
              <w:right w:w="17" w:type="dxa"/>
            </w:tcMar>
            <w:vAlign w:val="bottom"/>
            <w:hideMark/>
          </w:tcPr>
          <w:p w:rsidR="00341A7C" w:rsidRPr="00341A7C" w:rsidRDefault="00341A7C" w:rsidP="00341A7C">
            <w:pPr>
              <w:pStyle w:val="Nzev"/>
              <w:jc w:val="center"/>
            </w:pPr>
            <w:r w:rsidRPr="00341A7C">
              <w:t xml:space="preserve">Podíl MŠ v rámci </w:t>
            </w:r>
            <w:r>
              <w:t xml:space="preserve">SO </w:t>
            </w:r>
            <w:r w:rsidRPr="00341A7C">
              <w:t>ORP plánujících zlepšení</w:t>
            </w:r>
          </w:p>
        </w:tc>
        <w:tc>
          <w:tcPr>
            <w:tcW w:w="2268" w:type="dxa"/>
            <w:gridSpan w:val="3"/>
            <w:shd w:val="clear" w:color="000000" w:fill="FAC090"/>
            <w:tcMar>
              <w:top w:w="17" w:type="dxa"/>
              <w:left w:w="17" w:type="dxa"/>
              <w:bottom w:w="0" w:type="dxa"/>
              <w:right w:w="17" w:type="dxa"/>
            </w:tcMar>
            <w:vAlign w:val="center"/>
            <w:hideMark/>
          </w:tcPr>
          <w:p w:rsidR="00341A7C" w:rsidRPr="00341A7C" w:rsidRDefault="00341A7C" w:rsidP="00341A7C">
            <w:pPr>
              <w:pStyle w:val="Nzev"/>
              <w:jc w:val="center"/>
            </w:pPr>
            <w:r w:rsidRPr="00341A7C">
              <w:t>Průměrné hodnocení aktuálního stavu</w:t>
            </w:r>
          </w:p>
        </w:tc>
      </w:tr>
      <w:tr w:rsidR="00341A7C" w:rsidRPr="00341A7C" w:rsidTr="00341A7C">
        <w:trPr>
          <w:trHeight w:val="227"/>
        </w:trPr>
        <w:tc>
          <w:tcPr>
            <w:tcW w:w="4837" w:type="dxa"/>
            <w:vMerge/>
            <w:vAlign w:val="center"/>
            <w:hideMark/>
          </w:tcPr>
          <w:p w:rsidR="00341A7C" w:rsidRPr="00341A7C" w:rsidRDefault="00341A7C" w:rsidP="00341A7C">
            <w:pPr>
              <w:pStyle w:val="Nzev"/>
              <w:ind w:left="-134"/>
              <w:jc w:val="left"/>
            </w:pPr>
          </w:p>
        </w:tc>
        <w:tc>
          <w:tcPr>
            <w:tcW w:w="992" w:type="dxa"/>
            <w:shd w:val="clear" w:color="000000" w:fill="FAC090"/>
            <w:tcMar>
              <w:top w:w="17" w:type="dxa"/>
              <w:left w:w="17" w:type="dxa"/>
              <w:bottom w:w="0" w:type="dxa"/>
              <w:right w:w="17" w:type="dxa"/>
            </w:tcMar>
            <w:vAlign w:val="center"/>
            <w:hideMark/>
          </w:tcPr>
          <w:p w:rsidR="00341A7C" w:rsidRPr="00341A7C" w:rsidRDefault="00341A7C" w:rsidP="00341A7C">
            <w:pPr>
              <w:pStyle w:val="Nzev"/>
              <w:jc w:val="center"/>
            </w:pPr>
            <w:r w:rsidRPr="00341A7C">
              <w:t>2016–18</w:t>
            </w:r>
          </w:p>
        </w:tc>
        <w:tc>
          <w:tcPr>
            <w:tcW w:w="992" w:type="dxa"/>
            <w:shd w:val="clear" w:color="000000" w:fill="FAC090"/>
            <w:tcMar>
              <w:top w:w="17" w:type="dxa"/>
              <w:left w:w="17" w:type="dxa"/>
              <w:bottom w:w="0" w:type="dxa"/>
              <w:right w:w="17" w:type="dxa"/>
            </w:tcMar>
            <w:vAlign w:val="center"/>
            <w:hideMark/>
          </w:tcPr>
          <w:p w:rsidR="00341A7C" w:rsidRPr="00341A7C" w:rsidRDefault="00341A7C" w:rsidP="00341A7C">
            <w:pPr>
              <w:pStyle w:val="Nzev"/>
              <w:jc w:val="center"/>
            </w:pPr>
            <w:r w:rsidRPr="00341A7C">
              <w:t>2019–20</w:t>
            </w:r>
          </w:p>
        </w:tc>
        <w:tc>
          <w:tcPr>
            <w:tcW w:w="993" w:type="dxa"/>
            <w:shd w:val="clear" w:color="000000" w:fill="FAC090"/>
            <w:tcMar>
              <w:top w:w="17" w:type="dxa"/>
              <w:left w:w="17" w:type="dxa"/>
              <w:bottom w:w="0" w:type="dxa"/>
              <w:right w:w="17" w:type="dxa"/>
            </w:tcMar>
            <w:vAlign w:val="center"/>
            <w:hideMark/>
          </w:tcPr>
          <w:p w:rsidR="00341A7C" w:rsidRPr="00341A7C" w:rsidRDefault="00341A7C" w:rsidP="00341A7C">
            <w:pPr>
              <w:pStyle w:val="Nzev"/>
              <w:jc w:val="center"/>
            </w:pPr>
            <w:r w:rsidRPr="00341A7C">
              <w:t>SO ORP</w:t>
            </w:r>
          </w:p>
        </w:tc>
        <w:tc>
          <w:tcPr>
            <w:tcW w:w="567" w:type="dxa"/>
            <w:shd w:val="clear" w:color="000000" w:fill="FAC090"/>
            <w:tcMar>
              <w:top w:w="17" w:type="dxa"/>
              <w:left w:w="17" w:type="dxa"/>
              <w:bottom w:w="0" w:type="dxa"/>
              <w:right w:w="17" w:type="dxa"/>
            </w:tcMar>
            <w:vAlign w:val="center"/>
            <w:hideMark/>
          </w:tcPr>
          <w:p w:rsidR="00341A7C" w:rsidRPr="00341A7C" w:rsidRDefault="00341A7C" w:rsidP="00341A7C">
            <w:pPr>
              <w:pStyle w:val="Nzev"/>
              <w:jc w:val="center"/>
            </w:pPr>
            <w:r w:rsidRPr="00341A7C">
              <w:t>kraj</w:t>
            </w:r>
          </w:p>
        </w:tc>
        <w:tc>
          <w:tcPr>
            <w:tcW w:w="708" w:type="dxa"/>
            <w:shd w:val="clear" w:color="000000" w:fill="FAC090"/>
            <w:tcMar>
              <w:top w:w="17" w:type="dxa"/>
              <w:left w:w="17" w:type="dxa"/>
              <w:bottom w:w="0" w:type="dxa"/>
              <w:right w:w="17" w:type="dxa"/>
            </w:tcMar>
            <w:vAlign w:val="center"/>
            <w:hideMark/>
          </w:tcPr>
          <w:p w:rsidR="00341A7C" w:rsidRPr="00341A7C" w:rsidRDefault="00341A7C" w:rsidP="00341A7C">
            <w:pPr>
              <w:pStyle w:val="Nzev"/>
              <w:jc w:val="center"/>
            </w:pPr>
            <w:r w:rsidRPr="00341A7C">
              <w:t>ČR</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 xml:space="preserve"> Škola podporuje rozvoj matematické pregramotnosti v rámci školních vzdělávacích programů (má stanoveny konkrétní cíle)</w:t>
            </w:r>
          </w:p>
        </w:tc>
        <w:tc>
          <w:tcPr>
            <w:tcW w:w="992" w:type="dxa"/>
            <w:shd w:val="clear" w:color="000000" w:fill="D7E4BC"/>
            <w:tcMar>
              <w:top w:w="17" w:type="dxa"/>
              <w:left w:w="17" w:type="dxa"/>
              <w:bottom w:w="0" w:type="dxa"/>
              <w:right w:w="17" w:type="dxa"/>
            </w:tcMar>
            <w:vAlign w:val="center"/>
            <w:hideMark/>
          </w:tcPr>
          <w:p w:rsidR="00341A7C" w:rsidRPr="00341A7C" w:rsidRDefault="00341A7C" w:rsidP="00341A7C">
            <w:pPr>
              <w:pStyle w:val="Nzev"/>
              <w:jc w:val="center"/>
            </w:pPr>
            <w:r w:rsidRPr="00341A7C">
              <w:t>83,3%</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5,6%</w:t>
            </w:r>
          </w:p>
        </w:tc>
        <w:tc>
          <w:tcPr>
            <w:tcW w:w="993" w:type="dxa"/>
            <w:shd w:val="clear" w:color="000000" w:fill="E6B9B8"/>
            <w:tcMar>
              <w:top w:w="17" w:type="dxa"/>
              <w:left w:w="17" w:type="dxa"/>
              <w:bottom w:w="0" w:type="dxa"/>
              <w:right w:w="17" w:type="dxa"/>
            </w:tcMar>
            <w:vAlign w:val="center"/>
            <w:hideMark/>
          </w:tcPr>
          <w:p w:rsidR="00341A7C" w:rsidRPr="00341A7C" w:rsidRDefault="00341A7C" w:rsidP="00341A7C">
            <w:pPr>
              <w:pStyle w:val="Nzev"/>
              <w:jc w:val="center"/>
            </w:pPr>
            <w:r w:rsidRPr="00341A7C">
              <w:t>2,61</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2,81</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2,84</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Učitelé MŠ rozvíjejí své znalosti v oblasti matematické pregramotnosti a využívají je ve výchově (kurzy dalšího vzdělávání, studium literatury aj.)</w:t>
            </w:r>
          </w:p>
        </w:tc>
        <w:tc>
          <w:tcPr>
            <w:tcW w:w="992" w:type="dxa"/>
            <w:shd w:val="clear" w:color="000000" w:fill="D7E4BC"/>
            <w:tcMar>
              <w:top w:w="17" w:type="dxa"/>
              <w:left w:w="17" w:type="dxa"/>
              <w:bottom w:w="0" w:type="dxa"/>
              <w:right w:w="17" w:type="dxa"/>
            </w:tcMar>
            <w:vAlign w:val="center"/>
            <w:hideMark/>
          </w:tcPr>
          <w:p w:rsidR="00341A7C" w:rsidRPr="00341A7C" w:rsidRDefault="00341A7C" w:rsidP="00341A7C">
            <w:pPr>
              <w:pStyle w:val="Nzev"/>
              <w:jc w:val="center"/>
            </w:pPr>
            <w:r w:rsidRPr="00341A7C">
              <w:t>88,9%</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11,1%</w:t>
            </w:r>
          </w:p>
        </w:tc>
        <w:tc>
          <w:tcPr>
            <w:tcW w:w="993" w:type="dxa"/>
            <w:shd w:val="clear" w:color="000000" w:fill="E6B9B8"/>
            <w:tcMar>
              <w:top w:w="17" w:type="dxa"/>
              <w:left w:w="17" w:type="dxa"/>
              <w:bottom w:w="0" w:type="dxa"/>
              <w:right w:w="17" w:type="dxa"/>
            </w:tcMar>
            <w:vAlign w:val="center"/>
            <w:hideMark/>
          </w:tcPr>
          <w:p w:rsidR="00341A7C" w:rsidRPr="00341A7C" w:rsidRDefault="00341A7C" w:rsidP="00341A7C">
            <w:pPr>
              <w:pStyle w:val="Nzev"/>
              <w:jc w:val="center"/>
            </w:pPr>
            <w:r w:rsidRPr="00341A7C">
              <w:t>2,61</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2,65</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2,66</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Učitelé MŠ využívají poznatky v praxi a sdílejí dobrou praxi v oblasti rozvoje matematické pregramotnosti mezi sebou i s učiteli z jiných škol</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72,2%</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16,7%</w:t>
            </w:r>
          </w:p>
        </w:tc>
        <w:tc>
          <w:tcPr>
            <w:tcW w:w="993"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2,39</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2,32</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2,34</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Škola systematicky rozvíjí matematické myšlení (využívání příkladů k řešení a pochopení každodenních situací, návštěva science center apod.)</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77,8%</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22,2%</w:t>
            </w:r>
          </w:p>
        </w:tc>
        <w:tc>
          <w:tcPr>
            <w:tcW w:w="993" w:type="dxa"/>
            <w:shd w:val="clear" w:color="000000" w:fill="E6B9B8"/>
            <w:tcMar>
              <w:top w:w="17" w:type="dxa"/>
              <w:left w:w="17" w:type="dxa"/>
              <w:bottom w:w="0" w:type="dxa"/>
              <w:right w:w="17" w:type="dxa"/>
            </w:tcMar>
            <w:vAlign w:val="center"/>
            <w:hideMark/>
          </w:tcPr>
          <w:p w:rsidR="00341A7C" w:rsidRPr="00341A7C" w:rsidRDefault="00341A7C" w:rsidP="00341A7C">
            <w:pPr>
              <w:pStyle w:val="Nzev"/>
              <w:jc w:val="center"/>
            </w:pPr>
            <w:r w:rsidRPr="00341A7C">
              <w:t>2,17</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2,42</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2,46</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Škola podporuje individuální práci s dětmi s mimořádným zájmem o počítání nebo logiku</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66,7%</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11,1%</w:t>
            </w:r>
          </w:p>
        </w:tc>
        <w:tc>
          <w:tcPr>
            <w:tcW w:w="993"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2,56</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2,44</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2,44</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Škola informuje a spolupracuje v oblasti rozvoje matematické pregramotnosti s rodiči</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55,6%</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22,2%</w:t>
            </w:r>
          </w:p>
        </w:tc>
        <w:tc>
          <w:tcPr>
            <w:tcW w:w="993"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2,39</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2,26</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2,29</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Škola disponuje dostatečným technickým a materiálním zabezpečením pro rozvoj matematické pregramotnosti</w:t>
            </w:r>
          </w:p>
        </w:tc>
        <w:tc>
          <w:tcPr>
            <w:tcW w:w="992" w:type="dxa"/>
            <w:shd w:val="clear" w:color="000000" w:fill="D7E4BC"/>
            <w:tcMar>
              <w:top w:w="17" w:type="dxa"/>
              <w:left w:w="17" w:type="dxa"/>
              <w:bottom w:w="0" w:type="dxa"/>
              <w:right w:w="17" w:type="dxa"/>
            </w:tcMar>
            <w:vAlign w:val="center"/>
            <w:hideMark/>
          </w:tcPr>
          <w:p w:rsidR="00341A7C" w:rsidRPr="00341A7C" w:rsidRDefault="00341A7C" w:rsidP="00341A7C">
            <w:pPr>
              <w:pStyle w:val="Nzev"/>
              <w:jc w:val="center"/>
            </w:pPr>
            <w:r w:rsidRPr="00341A7C">
              <w:t>83,3%</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11,1%</w:t>
            </w:r>
          </w:p>
        </w:tc>
        <w:tc>
          <w:tcPr>
            <w:tcW w:w="993"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2,39</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2,36</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2,35</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Ve škole jsou využívány interaktivní metody a pomůcky v oblasti rozvoje matematické pregramotnosti</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55,6%</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27,8%</w:t>
            </w:r>
          </w:p>
        </w:tc>
        <w:tc>
          <w:tcPr>
            <w:tcW w:w="993" w:type="dxa"/>
            <w:shd w:val="clear" w:color="000000" w:fill="E6B9B8"/>
            <w:tcMar>
              <w:top w:w="17" w:type="dxa"/>
              <w:left w:w="17" w:type="dxa"/>
              <w:bottom w:w="0" w:type="dxa"/>
              <w:right w:w="17" w:type="dxa"/>
            </w:tcMar>
            <w:vAlign w:val="center"/>
            <w:hideMark/>
          </w:tcPr>
          <w:p w:rsidR="00341A7C" w:rsidRPr="00341A7C" w:rsidRDefault="00341A7C" w:rsidP="00341A7C">
            <w:pPr>
              <w:pStyle w:val="Nzev"/>
              <w:jc w:val="center"/>
            </w:pPr>
            <w:r w:rsidRPr="00341A7C">
              <w:t>1,94</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2,06</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2,01</w:t>
            </w:r>
          </w:p>
        </w:tc>
      </w:tr>
      <w:tr w:rsidR="00341A7C" w:rsidRPr="00341A7C" w:rsidTr="00341A7C">
        <w:trPr>
          <w:trHeight w:val="227"/>
        </w:trPr>
        <w:tc>
          <w:tcPr>
            <w:tcW w:w="4837" w:type="dxa"/>
            <w:shd w:val="clear" w:color="auto" w:fill="auto"/>
            <w:tcMar>
              <w:top w:w="17" w:type="dxa"/>
              <w:left w:w="151" w:type="dxa"/>
              <w:bottom w:w="0" w:type="dxa"/>
              <w:right w:w="17" w:type="dxa"/>
            </w:tcMar>
            <w:vAlign w:val="center"/>
            <w:hideMark/>
          </w:tcPr>
          <w:p w:rsidR="00341A7C" w:rsidRPr="00341A7C" w:rsidRDefault="00341A7C" w:rsidP="00341A7C">
            <w:pPr>
              <w:pStyle w:val="Nzev"/>
              <w:ind w:left="-134"/>
              <w:jc w:val="left"/>
            </w:pPr>
            <w:r w:rsidRPr="00341A7C">
              <w:t>Škola pravidelně nakupuje aktuální literaturu, multimédia pro rozvoj matematické pregramotnosti</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66,7%</w:t>
            </w:r>
          </w:p>
        </w:tc>
        <w:tc>
          <w:tcPr>
            <w:tcW w:w="992"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22,2%</w:t>
            </w:r>
          </w:p>
        </w:tc>
        <w:tc>
          <w:tcPr>
            <w:tcW w:w="993"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2,50</w:t>
            </w:r>
          </w:p>
        </w:tc>
        <w:tc>
          <w:tcPr>
            <w:tcW w:w="567"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2,33</w:t>
            </w:r>
          </w:p>
        </w:tc>
        <w:tc>
          <w:tcPr>
            <w:tcW w:w="708" w:type="dxa"/>
            <w:shd w:val="clear" w:color="000000" w:fill="FFFFFF"/>
            <w:tcMar>
              <w:top w:w="17" w:type="dxa"/>
              <w:left w:w="17" w:type="dxa"/>
              <w:bottom w:w="0" w:type="dxa"/>
              <w:right w:w="17" w:type="dxa"/>
            </w:tcMar>
            <w:vAlign w:val="center"/>
            <w:hideMark/>
          </w:tcPr>
          <w:p w:rsidR="00341A7C" w:rsidRPr="00341A7C" w:rsidRDefault="00341A7C" w:rsidP="00341A7C">
            <w:pPr>
              <w:pStyle w:val="Nzev"/>
              <w:jc w:val="center"/>
            </w:pPr>
            <w:r w:rsidRPr="00341A7C">
              <w:t>2,28</w:t>
            </w:r>
          </w:p>
        </w:tc>
      </w:tr>
    </w:tbl>
    <w:p w:rsidR="007E740D" w:rsidRPr="007E740D" w:rsidRDefault="00E6133C" w:rsidP="00E6133C">
      <w:pPr>
        <w:pStyle w:val="Bezmezer"/>
        <w:rPr>
          <w:lang w:eastAsia="cs-CZ"/>
        </w:rPr>
      </w:pPr>
      <w:r w:rsidRPr="007E740D">
        <w:rPr>
          <w:lang w:eastAsia="cs-CZ"/>
        </w:rPr>
        <w:t xml:space="preserve">Co se aktuálního stavu týká, </w:t>
      </w:r>
      <w:r w:rsidR="007E740D" w:rsidRPr="007E740D">
        <w:rPr>
          <w:lang w:eastAsia="cs-CZ"/>
        </w:rPr>
        <w:t xml:space="preserve">již jsme zmínili komunikaci s rodiči. Vůbec </w:t>
      </w:r>
      <w:r w:rsidR="007E740D" w:rsidRPr="001B3334">
        <w:rPr>
          <w:b/>
          <w:lang w:eastAsia="cs-CZ"/>
        </w:rPr>
        <w:t>nejnižší číslo připadá na téma interaktivních pomůcek</w:t>
      </w:r>
      <w:r w:rsidR="007E740D" w:rsidRPr="007E740D">
        <w:rPr>
          <w:lang w:eastAsia="cs-CZ"/>
        </w:rPr>
        <w:t>, jejichž nákup by se měl stát prioritou v druhém období. Realizace má svůj smysl, protože mateřské školky v SO ORP vykazují nejnižší míru hodnocení současného stavu v porovnání s vyššími územními celky.</w:t>
      </w:r>
    </w:p>
    <w:p w:rsidR="00E6133C" w:rsidRPr="007E740D" w:rsidRDefault="00E6133C" w:rsidP="00E6133C">
      <w:pPr>
        <w:pStyle w:val="Bezmezer"/>
        <w:rPr>
          <w:lang w:eastAsia="cs-CZ"/>
        </w:rPr>
      </w:pPr>
      <w:r w:rsidRPr="007E740D">
        <w:rPr>
          <w:lang w:eastAsia="cs-CZ"/>
        </w:rPr>
        <w:t xml:space="preserve">Výše zmíněné můžeme opět potvrdit doplňujícími informacemi, které se týkaly nejčastěji zmiňovaných překážek pro další rozvoj matematické </w:t>
      </w:r>
      <w:r w:rsidR="007E740D" w:rsidRPr="007E740D">
        <w:rPr>
          <w:lang w:eastAsia="cs-CZ"/>
        </w:rPr>
        <w:t>pre</w:t>
      </w:r>
      <w:r w:rsidRPr="007E740D">
        <w:rPr>
          <w:lang w:eastAsia="cs-CZ"/>
        </w:rPr>
        <w:t xml:space="preserve">gramotnosti: </w:t>
      </w:r>
    </w:p>
    <w:p w:rsidR="00E6133C" w:rsidRPr="007E740D" w:rsidRDefault="007E740D" w:rsidP="00E6133C">
      <w:pPr>
        <w:pStyle w:val="Nzev"/>
        <w:numPr>
          <w:ilvl w:val="0"/>
          <w:numId w:val="33"/>
        </w:numPr>
        <w:rPr>
          <w:rFonts w:eastAsia="Times New Roman"/>
          <w:lang w:eastAsia="cs-CZ"/>
        </w:rPr>
      </w:pPr>
      <w:r w:rsidRPr="007E740D">
        <w:rPr>
          <w:rFonts w:eastAsia="Times New Roman"/>
          <w:lang w:eastAsia="cs-CZ"/>
        </w:rPr>
        <w:t>Nedostatek interaktivních metod a pom</w:t>
      </w:r>
      <w:r w:rsidRPr="007E740D">
        <w:rPr>
          <w:rFonts w:eastAsia="Times New Roman" w:hint="eastAsia"/>
          <w:lang w:eastAsia="cs-CZ"/>
        </w:rPr>
        <w:t>ů</w:t>
      </w:r>
      <w:r w:rsidRPr="007E740D">
        <w:rPr>
          <w:rFonts w:eastAsia="Times New Roman"/>
          <w:lang w:eastAsia="cs-CZ"/>
        </w:rPr>
        <w:t>cek pro rozvoj pregramotnosti</w:t>
      </w:r>
      <w:r w:rsidR="00E6133C" w:rsidRPr="007E740D">
        <w:rPr>
          <w:rFonts w:eastAsia="Times New Roman"/>
          <w:lang w:eastAsia="cs-CZ"/>
        </w:rPr>
        <w:t xml:space="preserve"> (</w:t>
      </w:r>
      <w:r w:rsidRPr="007E740D">
        <w:rPr>
          <w:rFonts w:eastAsia="Times New Roman"/>
          <w:lang w:eastAsia="cs-CZ"/>
        </w:rPr>
        <w:t>61</w:t>
      </w:r>
      <w:r w:rsidR="00E6133C" w:rsidRPr="007E740D">
        <w:rPr>
          <w:rFonts w:eastAsia="Times New Roman"/>
          <w:lang w:eastAsia="cs-CZ"/>
        </w:rPr>
        <w:t>,</w:t>
      </w:r>
      <w:r w:rsidRPr="007E740D">
        <w:rPr>
          <w:rFonts w:eastAsia="Times New Roman"/>
          <w:lang w:eastAsia="cs-CZ"/>
        </w:rPr>
        <w:t>1</w:t>
      </w:r>
      <w:r w:rsidR="00E6133C" w:rsidRPr="007E740D">
        <w:rPr>
          <w:rFonts w:eastAsia="Times New Roman"/>
          <w:lang w:eastAsia="cs-CZ"/>
        </w:rPr>
        <w:t xml:space="preserve"> %)</w:t>
      </w:r>
    </w:p>
    <w:p w:rsidR="00E6133C" w:rsidRPr="007E740D" w:rsidRDefault="007E740D" w:rsidP="00E6133C">
      <w:pPr>
        <w:pStyle w:val="Nzev"/>
        <w:numPr>
          <w:ilvl w:val="0"/>
          <w:numId w:val="33"/>
        </w:numPr>
        <w:rPr>
          <w:rFonts w:eastAsia="Times New Roman"/>
          <w:lang w:eastAsia="cs-CZ"/>
        </w:rPr>
      </w:pPr>
      <w:r w:rsidRPr="007E740D">
        <w:rPr>
          <w:rFonts w:eastAsia="Times New Roman"/>
          <w:lang w:eastAsia="cs-CZ"/>
        </w:rPr>
        <w:t>Nedostatek p</w:t>
      </w:r>
      <w:r w:rsidRPr="007E740D">
        <w:rPr>
          <w:rFonts w:eastAsia="Times New Roman" w:hint="eastAsia"/>
          <w:lang w:eastAsia="cs-CZ"/>
        </w:rPr>
        <w:t>ří</w:t>
      </w:r>
      <w:r w:rsidRPr="007E740D">
        <w:rPr>
          <w:rFonts w:eastAsia="Times New Roman"/>
          <w:lang w:eastAsia="cs-CZ"/>
        </w:rPr>
        <w:t>ležitostí ke vzd</w:t>
      </w:r>
      <w:r w:rsidRPr="007E740D">
        <w:rPr>
          <w:rFonts w:eastAsia="Times New Roman" w:hint="eastAsia"/>
          <w:lang w:eastAsia="cs-CZ"/>
        </w:rPr>
        <w:t>ě</w:t>
      </w:r>
      <w:r w:rsidRPr="007E740D">
        <w:rPr>
          <w:rFonts w:eastAsia="Times New Roman"/>
          <w:lang w:eastAsia="cs-CZ"/>
        </w:rPr>
        <w:t>lávání pedagogických pracovník</w:t>
      </w:r>
      <w:r w:rsidRPr="007E740D">
        <w:rPr>
          <w:rFonts w:eastAsia="Times New Roman" w:hint="eastAsia"/>
          <w:lang w:eastAsia="cs-CZ"/>
        </w:rPr>
        <w:t>ů</w:t>
      </w:r>
      <w:r w:rsidRPr="007E740D">
        <w:rPr>
          <w:rFonts w:eastAsia="Times New Roman"/>
          <w:lang w:eastAsia="cs-CZ"/>
        </w:rPr>
        <w:t xml:space="preserve"> v oblasti p</w:t>
      </w:r>
      <w:r w:rsidRPr="007E740D">
        <w:rPr>
          <w:rFonts w:eastAsia="Times New Roman" w:hint="eastAsia"/>
          <w:lang w:eastAsia="cs-CZ"/>
        </w:rPr>
        <w:t>ří</w:t>
      </w:r>
      <w:r w:rsidRPr="007E740D">
        <w:rPr>
          <w:rFonts w:eastAsia="Times New Roman"/>
          <w:lang w:eastAsia="cs-CZ"/>
        </w:rPr>
        <w:t>slušné pregramotnosti</w:t>
      </w:r>
      <w:r w:rsidR="00E6133C" w:rsidRPr="007E740D">
        <w:rPr>
          <w:rFonts w:eastAsia="Times New Roman"/>
          <w:lang w:eastAsia="cs-CZ"/>
        </w:rPr>
        <w:t xml:space="preserve"> (</w:t>
      </w:r>
      <w:r w:rsidRPr="007E740D">
        <w:rPr>
          <w:rFonts w:eastAsia="Times New Roman"/>
          <w:lang w:eastAsia="cs-CZ"/>
        </w:rPr>
        <w:t>55</w:t>
      </w:r>
      <w:r w:rsidR="00E6133C" w:rsidRPr="007E740D">
        <w:rPr>
          <w:rFonts w:eastAsia="Times New Roman"/>
          <w:lang w:eastAsia="cs-CZ"/>
        </w:rPr>
        <w:t>,</w:t>
      </w:r>
      <w:r w:rsidRPr="007E740D">
        <w:rPr>
          <w:rFonts w:eastAsia="Times New Roman"/>
          <w:lang w:eastAsia="cs-CZ"/>
        </w:rPr>
        <w:t>6</w:t>
      </w:r>
      <w:r w:rsidR="00E6133C" w:rsidRPr="007E740D">
        <w:rPr>
          <w:rFonts w:eastAsia="Times New Roman"/>
          <w:lang w:eastAsia="cs-CZ"/>
        </w:rPr>
        <w:t xml:space="preserve"> %)</w:t>
      </w:r>
    </w:p>
    <w:p w:rsidR="00E6133C" w:rsidRPr="007E740D" w:rsidRDefault="007E740D" w:rsidP="00E6133C">
      <w:pPr>
        <w:pStyle w:val="Nzev"/>
        <w:numPr>
          <w:ilvl w:val="0"/>
          <w:numId w:val="33"/>
        </w:numPr>
        <w:rPr>
          <w:rFonts w:eastAsia="Times New Roman"/>
          <w:lang w:eastAsia="cs-CZ"/>
        </w:rPr>
      </w:pPr>
      <w:r w:rsidRPr="007E740D">
        <w:rPr>
          <w:rFonts w:eastAsia="Times New Roman"/>
          <w:lang w:eastAsia="cs-CZ"/>
        </w:rPr>
        <w:t>Nedostatek stabilní finan</w:t>
      </w:r>
      <w:r w:rsidRPr="007E740D">
        <w:rPr>
          <w:rFonts w:eastAsia="Times New Roman" w:hint="eastAsia"/>
          <w:lang w:eastAsia="cs-CZ"/>
        </w:rPr>
        <w:t>č</w:t>
      </w:r>
      <w:r w:rsidRPr="007E740D">
        <w:rPr>
          <w:rFonts w:eastAsia="Times New Roman"/>
          <w:lang w:eastAsia="cs-CZ"/>
        </w:rPr>
        <w:t>ní podpory pro rozvoj p</w:t>
      </w:r>
      <w:r w:rsidRPr="007E740D">
        <w:rPr>
          <w:rFonts w:eastAsia="Times New Roman" w:hint="eastAsia"/>
          <w:lang w:eastAsia="cs-CZ"/>
        </w:rPr>
        <w:t>ří</w:t>
      </w:r>
      <w:r w:rsidRPr="007E740D">
        <w:rPr>
          <w:rFonts w:eastAsia="Times New Roman"/>
          <w:lang w:eastAsia="cs-CZ"/>
        </w:rPr>
        <w:t>slušné pregramotnosti (nedostate</w:t>
      </w:r>
      <w:r w:rsidRPr="007E740D">
        <w:rPr>
          <w:rFonts w:eastAsia="Times New Roman" w:hint="eastAsia"/>
          <w:lang w:eastAsia="cs-CZ"/>
        </w:rPr>
        <w:t>č</w:t>
      </w:r>
      <w:r w:rsidRPr="007E740D">
        <w:rPr>
          <w:rFonts w:eastAsia="Times New Roman"/>
          <w:lang w:eastAsia="cs-CZ"/>
        </w:rPr>
        <w:t>né materiáln</w:t>
      </w:r>
      <w:r w:rsidRPr="007E740D">
        <w:rPr>
          <w:rFonts w:eastAsia="Times New Roman" w:hint="eastAsia"/>
          <w:lang w:eastAsia="cs-CZ"/>
        </w:rPr>
        <w:t>ě</w:t>
      </w:r>
      <w:r w:rsidRPr="007E740D">
        <w:rPr>
          <w:rFonts w:eastAsia="Times New Roman"/>
          <w:lang w:eastAsia="cs-CZ"/>
        </w:rPr>
        <w:t xml:space="preserve"> technické zázemí, chyb</w:t>
      </w:r>
      <w:r w:rsidRPr="007E740D">
        <w:rPr>
          <w:rFonts w:eastAsia="Times New Roman" w:hint="eastAsia"/>
          <w:lang w:eastAsia="cs-CZ"/>
        </w:rPr>
        <w:t>ě</w:t>
      </w:r>
      <w:r w:rsidRPr="007E740D">
        <w:rPr>
          <w:rFonts w:eastAsia="Times New Roman"/>
          <w:lang w:eastAsia="cs-CZ"/>
        </w:rPr>
        <w:t>jící finance na inovace a vým</w:t>
      </w:r>
      <w:r w:rsidRPr="007E740D">
        <w:rPr>
          <w:rFonts w:eastAsia="Times New Roman" w:hint="eastAsia"/>
          <w:lang w:eastAsia="cs-CZ"/>
        </w:rPr>
        <w:t>ě</w:t>
      </w:r>
      <w:r w:rsidRPr="007E740D">
        <w:rPr>
          <w:rFonts w:eastAsia="Times New Roman"/>
          <w:lang w:eastAsia="cs-CZ"/>
        </w:rPr>
        <w:t>nu pom</w:t>
      </w:r>
      <w:r w:rsidRPr="007E740D">
        <w:rPr>
          <w:rFonts w:eastAsia="Times New Roman" w:hint="eastAsia"/>
          <w:lang w:eastAsia="cs-CZ"/>
        </w:rPr>
        <w:t>ů</w:t>
      </w:r>
      <w:r w:rsidRPr="007E740D">
        <w:rPr>
          <w:rFonts w:eastAsia="Times New Roman"/>
          <w:lang w:eastAsia="cs-CZ"/>
        </w:rPr>
        <w:t xml:space="preserve">cek k rozvoji </w:t>
      </w:r>
      <w:proofErr w:type="spellStart"/>
      <w:r w:rsidRPr="007E740D">
        <w:rPr>
          <w:rFonts w:eastAsia="Times New Roman"/>
          <w:lang w:eastAsia="cs-CZ"/>
        </w:rPr>
        <w:t>pregramotností</w:t>
      </w:r>
      <w:proofErr w:type="spellEnd"/>
      <w:r w:rsidRPr="007E740D">
        <w:rPr>
          <w:rFonts w:eastAsia="Times New Roman"/>
          <w:lang w:eastAsia="cs-CZ"/>
        </w:rPr>
        <w:t>, nedostate</w:t>
      </w:r>
      <w:r w:rsidRPr="007E740D">
        <w:rPr>
          <w:rFonts w:eastAsia="Times New Roman" w:hint="eastAsia"/>
          <w:lang w:eastAsia="cs-CZ"/>
        </w:rPr>
        <w:t>č</w:t>
      </w:r>
      <w:r w:rsidRPr="007E740D">
        <w:rPr>
          <w:rFonts w:eastAsia="Times New Roman"/>
          <w:lang w:eastAsia="cs-CZ"/>
        </w:rPr>
        <w:t>ný po</w:t>
      </w:r>
      <w:r w:rsidRPr="007E740D">
        <w:rPr>
          <w:rFonts w:eastAsia="Times New Roman" w:hint="eastAsia"/>
          <w:lang w:eastAsia="cs-CZ"/>
        </w:rPr>
        <w:t>č</w:t>
      </w:r>
      <w:r w:rsidRPr="007E740D">
        <w:rPr>
          <w:rFonts w:eastAsia="Times New Roman"/>
          <w:lang w:eastAsia="cs-CZ"/>
        </w:rPr>
        <w:t>et pom</w:t>
      </w:r>
      <w:r w:rsidRPr="007E740D">
        <w:rPr>
          <w:rFonts w:eastAsia="Times New Roman" w:hint="eastAsia"/>
          <w:lang w:eastAsia="cs-CZ"/>
        </w:rPr>
        <w:t>ů</w:t>
      </w:r>
      <w:r w:rsidRPr="007E740D">
        <w:rPr>
          <w:rFonts w:eastAsia="Times New Roman"/>
          <w:lang w:eastAsia="cs-CZ"/>
        </w:rPr>
        <w:t>cek apod.)</w:t>
      </w:r>
      <w:r w:rsidR="00E6133C" w:rsidRPr="007E740D">
        <w:rPr>
          <w:rFonts w:eastAsia="Times New Roman"/>
          <w:lang w:eastAsia="cs-CZ"/>
        </w:rPr>
        <w:t xml:space="preserve"> (</w:t>
      </w:r>
      <w:r w:rsidRPr="007E740D">
        <w:rPr>
          <w:rFonts w:eastAsia="Times New Roman"/>
          <w:lang w:eastAsia="cs-CZ"/>
        </w:rPr>
        <w:t>50</w:t>
      </w:r>
      <w:r w:rsidR="00E6133C" w:rsidRPr="007E740D">
        <w:rPr>
          <w:rFonts w:eastAsia="Times New Roman"/>
          <w:lang w:eastAsia="cs-CZ"/>
        </w:rPr>
        <w:t xml:space="preserve"> %)</w:t>
      </w:r>
    </w:p>
    <w:p w:rsidR="00E6133C" w:rsidRPr="00C53D1A" w:rsidRDefault="00E265C8" w:rsidP="00E6133C">
      <w:pPr>
        <w:pStyle w:val="Bezmezer"/>
        <w:rPr>
          <w:u w:val="single"/>
        </w:rPr>
      </w:pPr>
      <w:r>
        <w:rPr>
          <w:u w:val="single"/>
        </w:rPr>
        <w:t>Podpora kompetencí k</w:t>
      </w:r>
      <w:r w:rsidR="00E6133C" w:rsidRPr="00E265C8">
        <w:rPr>
          <w:u w:val="single"/>
        </w:rPr>
        <w:t xml:space="preserve"> iniciativě a kreat</w:t>
      </w:r>
      <w:r w:rsidR="00E6133C" w:rsidRPr="00C53D1A">
        <w:rPr>
          <w:u w:val="single"/>
        </w:rPr>
        <w:t>ivitě</w:t>
      </w:r>
    </w:p>
    <w:p w:rsidR="007F7F74" w:rsidRPr="00CF3B0F" w:rsidRDefault="00C53D1A" w:rsidP="00E6133C">
      <w:pPr>
        <w:pStyle w:val="Bezmezer"/>
      </w:pPr>
      <w:r w:rsidRPr="00C53D1A">
        <w:t>Oblast podpory kompetencí k</w:t>
      </w:r>
      <w:r>
        <w:t> </w:t>
      </w:r>
      <w:r w:rsidRPr="00C53D1A">
        <w:t>iniciativě</w:t>
      </w:r>
      <w:r>
        <w:t xml:space="preserve"> a kreativitě</w:t>
      </w:r>
      <w:r w:rsidR="00552009">
        <w:t xml:space="preserve"> drží hned </w:t>
      </w:r>
      <w:r w:rsidR="00552009" w:rsidRPr="000534FB">
        <w:rPr>
          <w:b/>
        </w:rPr>
        <w:t>dva primáty</w:t>
      </w:r>
      <w:r w:rsidR="00552009">
        <w:t xml:space="preserve">. MŠ zde hodnotily celkem osm témat. Těchto osm témat označilo za své priority </w:t>
      </w:r>
      <w:r w:rsidR="005E1876">
        <w:t xml:space="preserve">v prvním období </w:t>
      </w:r>
      <w:r w:rsidR="00552009">
        <w:t xml:space="preserve">vůbec </w:t>
      </w:r>
      <w:r w:rsidR="00552009" w:rsidRPr="000534FB">
        <w:rPr>
          <w:b/>
        </w:rPr>
        <w:t>největší množství mateřských škol</w:t>
      </w:r>
      <w:r w:rsidR="00552009">
        <w:t xml:space="preserve"> a to v rámci všech zjišťovaných oblastí (průměrn</w:t>
      </w:r>
      <w:r w:rsidR="005E1876">
        <w:t>é procento</w:t>
      </w:r>
      <w:r w:rsidR="00552009">
        <w:t xml:space="preserve"> MŠ plánujících zlepšení v daných tématech </w:t>
      </w:r>
      <w:r w:rsidR="005E1876">
        <w:t xml:space="preserve">v prvním období je </w:t>
      </w:r>
      <w:r w:rsidR="00552009">
        <w:t>79,9</w:t>
      </w:r>
      <w:r w:rsidR="005E1876">
        <w:t xml:space="preserve"> </w:t>
      </w:r>
      <w:r w:rsidR="00552009">
        <w:t>%!)</w:t>
      </w:r>
      <w:r w:rsidR="005E1876">
        <w:t xml:space="preserve">. S tím rovněž souvisí skutečnost, že </w:t>
      </w:r>
      <w:r w:rsidR="002A52FC">
        <w:t>na druhé období připadá naopak průměrné procento v rámci všech relevantní</w:t>
      </w:r>
      <w:r w:rsidR="00CA724C">
        <w:t>ch</w:t>
      </w:r>
      <w:r w:rsidR="002A52FC">
        <w:t xml:space="preserve"> oblast</w:t>
      </w:r>
      <w:r w:rsidR="00CA724C">
        <w:t>í</w:t>
      </w:r>
      <w:r w:rsidR="002A52FC">
        <w:t xml:space="preserve"> </w:t>
      </w:r>
      <w:r w:rsidR="00B81D83">
        <w:t xml:space="preserve">nejnižší </w:t>
      </w:r>
      <w:r w:rsidR="002A52FC">
        <w:t>(6,3 %).</w:t>
      </w:r>
      <w:r w:rsidR="007628DE">
        <w:t xml:space="preserve"> </w:t>
      </w:r>
      <w:r w:rsidR="00CF3B0F">
        <w:t>Vůbec nejvíce mateřských škol potom jako prioritu v prvním období</w:t>
      </w:r>
      <w:r w:rsidR="006E2E0C">
        <w:t xml:space="preserve"> uvedlo tato čtyři témata:</w:t>
      </w:r>
    </w:p>
    <w:p w:rsidR="00E6133C" w:rsidRPr="006E2E0C" w:rsidRDefault="006E2E0C" w:rsidP="00E6133C">
      <w:pPr>
        <w:pStyle w:val="Nzev"/>
        <w:numPr>
          <w:ilvl w:val="0"/>
          <w:numId w:val="32"/>
        </w:numPr>
        <w:rPr>
          <w:rFonts w:eastAsia="Times New Roman"/>
          <w:lang w:eastAsia="cs-CZ"/>
        </w:rPr>
      </w:pPr>
      <w:r w:rsidRPr="006E2E0C">
        <w:t>Škola nabízí pestré možnosti seberealizace dětí, umožňuje dětem realizovat vlastní nápady (např. dramatizace textu atp.)</w:t>
      </w:r>
      <w:r w:rsidR="00E6133C" w:rsidRPr="006E2E0C">
        <w:rPr>
          <w:rFonts w:eastAsia="Times New Roman"/>
          <w:lang w:eastAsia="cs-CZ"/>
        </w:rPr>
        <w:t xml:space="preserve"> (</w:t>
      </w:r>
      <w:r w:rsidRPr="006E2E0C">
        <w:rPr>
          <w:rFonts w:eastAsia="Times New Roman"/>
          <w:lang w:eastAsia="cs-CZ"/>
        </w:rPr>
        <w:t>88</w:t>
      </w:r>
      <w:r w:rsidR="00E6133C" w:rsidRPr="006E2E0C">
        <w:rPr>
          <w:rFonts w:eastAsia="Times New Roman"/>
          <w:lang w:eastAsia="cs-CZ"/>
        </w:rPr>
        <w:t>,</w:t>
      </w:r>
      <w:r w:rsidRPr="006E2E0C">
        <w:rPr>
          <w:rFonts w:eastAsia="Times New Roman"/>
          <w:lang w:eastAsia="cs-CZ"/>
        </w:rPr>
        <w:t>9</w:t>
      </w:r>
      <w:r w:rsidR="00E6133C" w:rsidRPr="006E2E0C">
        <w:rPr>
          <w:rFonts w:eastAsia="Times New Roman"/>
          <w:lang w:eastAsia="cs-CZ"/>
        </w:rPr>
        <w:t xml:space="preserve"> %)</w:t>
      </w:r>
    </w:p>
    <w:p w:rsidR="00E6133C" w:rsidRPr="006E2E0C" w:rsidRDefault="006E2E0C" w:rsidP="00E6133C">
      <w:pPr>
        <w:pStyle w:val="Nzev"/>
        <w:numPr>
          <w:ilvl w:val="0"/>
          <w:numId w:val="32"/>
        </w:numPr>
        <w:rPr>
          <w:rFonts w:eastAsia="Times New Roman"/>
          <w:lang w:eastAsia="cs-CZ"/>
        </w:rPr>
      </w:pPr>
      <w:r w:rsidRPr="006E2E0C">
        <w:lastRenderedPageBreak/>
        <w:t>Učitelé rozvíjejí své znalosti v oblasti podpory kreativity a využívají je ve výchově (kurzy dalšího vzdělávání, studium literatury aj.)</w:t>
      </w:r>
      <w:r w:rsidR="00E6133C" w:rsidRPr="006E2E0C">
        <w:rPr>
          <w:rFonts w:eastAsia="Times New Roman"/>
          <w:lang w:eastAsia="cs-CZ"/>
        </w:rPr>
        <w:t xml:space="preserve"> (</w:t>
      </w:r>
      <w:r w:rsidRPr="006E2E0C">
        <w:rPr>
          <w:rFonts w:eastAsia="Times New Roman"/>
          <w:lang w:eastAsia="cs-CZ"/>
        </w:rPr>
        <w:t>83</w:t>
      </w:r>
      <w:r w:rsidR="00E6133C" w:rsidRPr="006E2E0C">
        <w:rPr>
          <w:rFonts w:eastAsia="Times New Roman"/>
          <w:lang w:eastAsia="cs-CZ"/>
        </w:rPr>
        <w:t>,</w:t>
      </w:r>
      <w:r w:rsidRPr="006E2E0C">
        <w:rPr>
          <w:rFonts w:eastAsia="Times New Roman"/>
          <w:lang w:eastAsia="cs-CZ"/>
        </w:rPr>
        <w:t>3</w:t>
      </w:r>
      <w:r w:rsidR="00E6133C" w:rsidRPr="006E2E0C">
        <w:rPr>
          <w:rFonts w:eastAsia="Times New Roman"/>
          <w:lang w:eastAsia="cs-CZ"/>
        </w:rPr>
        <w:t xml:space="preserve"> %)</w:t>
      </w:r>
    </w:p>
    <w:p w:rsidR="006E2E0C" w:rsidRPr="006E2E0C" w:rsidRDefault="006E2E0C" w:rsidP="00E6133C">
      <w:pPr>
        <w:pStyle w:val="Nzev"/>
        <w:numPr>
          <w:ilvl w:val="0"/>
          <w:numId w:val="32"/>
        </w:numPr>
        <w:rPr>
          <w:rFonts w:eastAsia="Times New Roman"/>
          <w:lang w:eastAsia="cs-CZ"/>
        </w:rPr>
      </w:pPr>
      <w:r w:rsidRPr="006E2E0C">
        <w:t>Škola systematicky učí prvkům iniciativy a kreativity, prostředí i přístup pedagogů podporuje fantazii a iniciativu dětí</w:t>
      </w:r>
      <w:r w:rsidR="00E6133C" w:rsidRPr="006E2E0C">
        <w:rPr>
          <w:rFonts w:eastAsia="Times New Roman"/>
          <w:lang w:eastAsia="cs-CZ"/>
        </w:rPr>
        <w:t xml:space="preserve"> (</w:t>
      </w:r>
      <w:r w:rsidRPr="006E2E0C">
        <w:rPr>
          <w:rFonts w:eastAsia="Times New Roman"/>
          <w:lang w:eastAsia="cs-CZ"/>
        </w:rPr>
        <w:t>83</w:t>
      </w:r>
      <w:r w:rsidR="00E6133C" w:rsidRPr="006E2E0C">
        <w:rPr>
          <w:rFonts w:eastAsia="Times New Roman"/>
          <w:lang w:eastAsia="cs-CZ"/>
        </w:rPr>
        <w:t>,</w:t>
      </w:r>
      <w:r w:rsidRPr="006E2E0C">
        <w:rPr>
          <w:rFonts w:eastAsia="Times New Roman"/>
          <w:lang w:eastAsia="cs-CZ"/>
        </w:rPr>
        <w:t>3</w:t>
      </w:r>
      <w:r w:rsidR="00E6133C" w:rsidRPr="006E2E0C">
        <w:rPr>
          <w:rFonts w:eastAsia="Times New Roman"/>
          <w:lang w:eastAsia="cs-CZ"/>
        </w:rPr>
        <w:t xml:space="preserve"> %</w:t>
      </w:r>
      <w:r w:rsidRPr="006E2E0C">
        <w:rPr>
          <w:rFonts w:eastAsia="Times New Roman"/>
          <w:lang w:eastAsia="cs-CZ"/>
        </w:rPr>
        <w:t>)</w:t>
      </w:r>
    </w:p>
    <w:p w:rsidR="00E6133C" w:rsidRPr="006E2E0C" w:rsidRDefault="006E2E0C" w:rsidP="00E6133C">
      <w:pPr>
        <w:pStyle w:val="Nzev"/>
        <w:numPr>
          <w:ilvl w:val="0"/>
          <w:numId w:val="32"/>
        </w:numPr>
        <w:rPr>
          <w:rFonts w:eastAsia="Times New Roman"/>
          <w:lang w:eastAsia="cs-CZ"/>
        </w:rPr>
      </w:pPr>
      <w:r w:rsidRPr="006E2E0C">
        <w:t>Škola informuje a spolupracuje v oblasti podpory kompetencí k iniciativě a kreativitě s rodiči (např. ukázky práce s dětmi pro rodiče, dny otevřených dveří apod.) (83,3</w:t>
      </w:r>
      <w:r w:rsidR="00C107D4">
        <w:t xml:space="preserve"> %</w:t>
      </w:r>
      <w:r w:rsidR="00E6133C" w:rsidRPr="006E2E0C">
        <w:rPr>
          <w:rFonts w:eastAsia="Times New Roman"/>
          <w:lang w:eastAsia="cs-CZ"/>
        </w:rPr>
        <w:t>)</w:t>
      </w:r>
    </w:p>
    <w:p w:rsidR="000C072C" w:rsidRDefault="000C072C" w:rsidP="000C072C">
      <w:pPr>
        <w:pStyle w:val="Bezmezer"/>
      </w:pPr>
      <w:r>
        <w:t>To, že nejvíce MŠ zaškrtávalo témata právě v této oblasti</w:t>
      </w:r>
      <w:r w:rsidR="004F1E0B">
        <w:t>,</w:t>
      </w:r>
      <w:r>
        <w:t xml:space="preserve"> má svou logiku. Pohybujeme se v předškolním vzdělávání, kde je mnohem více než učení se konkrétním předmětům stále ještě nutný celkový rozvoj osobnosti. Ne snad, že v dalších stupních vzdělávání by tomu bylo jinak, ale přeci </w:t>
      </w:r>
      <w:r w:rsidR="004F1E0B">
        <w:t xml:space="preserve">jen </w:t>
      </w:r>
      <w:r>
        <w:t xml:space="preserve">tam do hry vstupuje právě již studium konkrétních reálií, logických postupů apod. V předškolním věku je ještě </w:t>
      </w:r>
      <w:r w:rsidRPr="004F1E0B">
        <w:rPr>
          <w:b/>
        </w:rPr>
        <w:t>prostor</w:t>
      </w:r>
      <w:r>
        <w:t xml:space="preserve"> klást důraz </w:t>
      </w:r>
      <w:r w:rsidRPr="004F1E0B">
        <w:rPr>
          <w:b/>
        </w:rPr>
        <w:t>na obecné, nesvázané momenty kreativity, iniciativy, fantazie</w:t>
      </w:r>
      <w:r>
        <w:t>. Nedílnou součástí takového počínání je potom samozřejmě odpovídající průprava pedagogů na jedné straně a spolupráce rodičů na straně druhé.</w:t>
      </w:r>
    </w:p>
    <w:p w:rsidR="00E6133C" w:rsidRPr="00EF53D0" w:rsidRDefault="00E6133C" w:rsidP="00E6133C">
      <w:pPr>
        <w:pStyle w:val="Nadpis5"/>
      </w:pPr>
      <w:r w:rsidRPr="00EF53D0">
        <w:t>Tabulka: Podnikavost, iniciativa a kreativita</w:t>
      </w:r>
    </w:p>
    <w:tbl>
      <w:tblPr>
        <w:tblW w:w="9089" w:type="dxa"/>
        <w:tblBorders>
          <w:insideH w:val="single" w:sz="8" w:space="0" w:color="000000"/>
          <w:insideV w:val="single" w:sz="8" w:space="0" w:color="000000"/>
        </w:tblBorders>
        <w:tblLayout w:type="fixed"/>
        <w:tblCellMar>
          <w:left w:w="0" w:type="dxa"/>
          <w:right w:w="0" w:type="dxa"/>
        </w:tblCellMar>
        <w:tblLook w:val="04A0"/>
      </w:tblPr>
      <w:tblGrid>
        <w:gridCol w:w="4837"/>
        <w:gridCol w:w="992"/>
        <w:gridCol w:w="1134"/>
        <w:gridCol w:w="851"/>
        <w:gridCol w:w="708"/>
        <w:gridCol w:w="567"/>
      </w:tblGrid>
      <w:tr w:rsidR="00CF3B0F" w:rsidTr="00CF3B0F">
        <w:trPr>
          <w:trHeight w:val="227"/>
        </w:trPr>
        <w:tc>
          <w:tcPr>
            <w:tcW w:w="4837" w:type="dxa"/>
            <w:vMerge w:val="restart"/>
            <w:shd w:val="clear" w:color="000000" w:fill="FAC090"/>
            <w:tcMar>
              <w:top w:w="17" w:type="dxa"/>
              <w:left w:w="17" w:type="dxa"/>
              <w:bottom w:w="0" w:type="dxa"/>
              <w:right w:w="17" w:type="dxa"/>
            </w:tcMar>
            <w:vAlign w:val="center"/>
            <w:hideMark/>
          </w:tcPr>
          <w:p w:rsidR="00EF53D0" w:rsidRDefault="00EF53D0" w:rsidP="00EF53D0">
            <w:pPr>
              <w:pStyle w:val="Nzev"/>
              <w:jc w:val="left"/>
            </w:pPr>
            <w:r>
              <w:t> </w:t>
            </w:r>
          </w:p>
        </w:tc>
        <w:tc>
          <w:tcPr>
            <w:tcW w:w="2126" w:type="dxa"/>
            <w:gridSpan w:val="2"/>
            <w:shd w:val="clear" w:color="000000" w:fill="FAC090"/>
            <w:tcMar>
              <w:top w:w="17" w:type="dxa"/>
              <w:left w:w="17" w:type="dxa"/>
              <w:bottom w:w="0" w:type="dxa"/>
              <w:right w:w="17" w:type="dxa"/>
            </w:tcMar>
            <w:vAlign w:val="bottom"/>
            <w:hideMark/>
          </w:tcPr>
          <w:p w:rsidR="00EF53D0" w:rsidRDefault="00EF53D0" w:rsidP="00EF53D0">
            <w:pPr>
              <w:pStyle w:val="Nzev"/>
              <w:jc w:val="center"/>
            </w:pPr>
            <w:r>
              <w:t>Podíl MŠ v rámci SO ORP plánujících zlepšení</w:t>
            </w:r>
          </w:p>
        </w:tc>
        <w:tc>
          <w:tcPr>
            <w:tcW w:w="2126" w:type="dxa"/>
            <w:gridSpan w:val="3"/>
            <w:shd w:val="clear" w:color="000000" w:fill="FAC090"/>
            <w:tcMar>
              <w:top w:w="17" w:type="dxa"/>
              <w:left w:w="17" w:type="dxa"/>
              <w:bottom w:w="0" w:type="dxa"/>
              <w:right w:w="17" w:type="dxa"/>
            </w:tcMar>
            <w:vAlign w:val="center"/>
            <w:hideMark/>
          </w:tcPr>
          <w:p w:rsidR="00EF53D0" w:rsidRDefault="00EF53D0" w:rsidP="00EF53D0">
            <w:pPr>
              <w:pStyle w:val="Nzev"/>
              <w:jc w:val="center"/>
            </w:pPr>
            <w:r>
              <w:t>Průměrné hodnocení aktuálního stavu</w:t>
            </w:r>
          </w:p>
        </w:tc>
      </w:tr>
      <w:tr w:rsidR="00C53D1A" w:rsidTr="00CF3B0F">
        <w:trPr>
          <w:trHeight w:val="227"/>
        </w:trPr>
        <w:tc>
          <w:tcPr>
            <w:tcW w:w="4837" w:type="dxa"/>
            <w:vMerge/>
            <w:vAlign w:val="center"/>
            <w:hideMark/>
          </w:tcPr>
          <w:p w:rsidR="00EF53D0" w:rsidRDefault="00EF53D0" w:rsidP="00EF53D0">
            <w:pPr>
              <w:pStyle w:val="Nzev"/>
              <w:jc w:val="left"/>
            </w:pPr>
          </w:p>
        </w:tc>
        <w:tc>
          <w:tcPr>
            <w:tcW w:w="992" w:type="dxa"/>
            <w:shd w:val="clear" w:color="000000" w:fill="FAC090"/>
            <w:tcMar>
              <w:top w:w="17" w:type="dxa"/>
              <w:left w:w="17" w:type="dxa"/>
              <w:bottom w:w="0" w:type="dxa"/>
              <w:right w:w="17" w:type="dxa"/>
            </w:tcMar>
            <w:vAlign w:val="center"/>
            <w:hideMark/>
          </w:tcPr>
          <w:p w:rsidR="00EF53D0" w:rsidRDefault="00EF53D0" w:rsidP="00EF53D0">
            <w:pPr>
              <w:pStyle w:val="Nzev"/>
              <w:jc w:val="center"/>
            </w:pPr>
            <w:r>
              <w:t>2016–18</w:t>
            </w:r>
          </w:p>
        </w:tc>
        <w:tc>
          <w:tcPr>
            <w:tcW w:w="1134" w:type="dxa"/>
            <w:shd w:val="clear" w:color="000000" w:fill="FAC090"/>
            <w:tcMar>
              <w:top w:w="17" w:type="dxa"/>
              <w:left w:w="17" w:type="dxa"/>
              <w:bottom w:w="0" w:type="dxa"/>
              <w:right w:w="17" w:type="dxa"/>
            </w:tcMar>
            <w:vAlign w:val="center"/>
            <w:hideMark/>
          </w:tcPr>
          <w:p w:rsidR="00EF53D0" w:rsidRDefault="00EF53D0" w:rsidP="00EF53D0">
            <w:pPr>
              <w:pStyle w:val="Nzev"/>
              <w:jc w:val="center"/>
            </w:pPr>
            <w:r>
              <w:t>2019–20</w:t>
            </w:r>
          </w:p>
        </w:tc>
        <w:tc>
          <w:tcPr>
            <w:tcW w:w="851" w:type="dxa"/>
            <w:shd w:val="clear" w:color="000000" w:fill="FAC090"/>
            <w:tcMar>
              <w:top w:w="17" w:type="dxa"/>
              <w:left w:w="17" w:type="dxa"/>
              <w:bottom w:w="0" w:type="dxa"/>
              <w:right w:w="17" w:type="dxa"/>
            </w:tcMar>
            <w:vAlign w:val="center"/>
            <w:hideMark/>
          </w:tcPr>
          <w:p w:rsidR="00EF53D0" w:rsidRDefault="00EF53D0" w:rsidP="00EF53D0">
            <w:pPr>
              <w:pStyle w:val="Nzev"/>
              <w:jc w:val="center"/>
            </w:pPr>
            <w:r>
              <w:t>SO ORP</w:t>
            </w:r>
          </w:p>
        </w:tc>
        <w:tc>
          <w:tcPr>
            <w:tcW w:w="708" w:type="dxa"/>
            <w:shd w:val="clear" w:color="000000" w:fill="FAC090"/>
            <w:tcMar>
              <w:top w:w="17" w:type="dxa"/>
              <w:left w:w="17" w:type="dxa"/>
              <w:bottom w:w="0" w:type="dxa"/>
              <w:right w:w="17" w:type="dxa"/>
            </w:tcMar>
            <w:vAlign w:val="center"/>
            <w:hideMark/>
          </w:tcPr>
          <w:p w:rsidR="00EF53D0" w:rsidRDefault="00EF53D0" w:rsidP="00EF53D0">
            <w:pPr>
              <w:pStyle w:val="Nzev"/>
              <w:jc w:val="center"/>
            </w:pPr>
            <w:r>
              <w:t>kraj</w:t>
            </w:r>
          </w:p>
        </w:tc>
        <w:tc>
          <w:tcPr>
            <w:tcW w:w="567" w:type="dxa"/>
            <w:shd w:val="clear" w:color="000000" w:fill="FAC090"/>
            <w:tcMar>
              <w:top w:w="17" w:type="dxa"/>
              <w:left w:w="17" w:type="dxa"/>
              <w:bottom w:w="0" w:type="dxa"/>
              <w:right w:w="17" w:type="dxa"/>
            </w:tcMar>
            <w:vAlign w:val="center"/>
            <w:hideMark/>
          </w:tcPr>
          <w:p w:rsidR="00EF53D0" w:rsidRDefault="00EF53D0" w:rsidP="00EF53D0">
            <w:pPr>
              <w:pStyle w:val="Nzev"/>
              <w:jc w:val="center"/>
            </w:pPr>
            <w:r>
              <w:t>ČR</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Škola podporuje klíčové kompetence k rozvoji kreativity podle RVP PV</w:t>
            </w:r>
          </w:p>
        </w:tc>
        <w:tc>
          <w:tcPr>
            <w:tcW w:w="992"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77,8%</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5,6%</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2,83</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3,00</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3,02</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Učitelé rozvíjejí své znalosti v oblasti podpory kreativity a využívají je ve výchově (kurzy dalšího vzdělávání, studium literatury aj.)</w:t>
            </w:r>
          </w:p>
        </w:tc>
        <w:tc>
          <w:tcPr>
            <w:tcW w:w="992" w:type="dxa"/>
            <w:shd w:val="clear" w:color="000000" w:fill="D7E4BC"/>
            <w:tcMar>
              <w:top w:w="17" w:type="dxa"/>
              <w:left w:w="17" w:type="dxa"/>
              <w:bottom w:w="0" w:type="dxa"/>
              <w:right w:w="17" w:type="dxa"/>
            </w:tcMar>
            <w:vAlign w:val="center"/>
            <w:hideMark/>
          </w:tcPr>
          <w:p w:rsidR="00EF53D0" w:rsidRDefault="00EF53D0" w:rsidP="00EF53D0">
            <w:pPr>
              <w:pStyle w:val="Nzev"/>
              <w:jc w:val="center"/>
            </w:pPr>
            <w:r>
              <w:t>83,3%</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5,6%</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2,83</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2,91</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2,92</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Učitelé využívají poznatků v praxi a sdílejí dobrou praxi v oblasti rozvoje iniciativy a kreativity mezi sebou i s učiteli z jiných škol</w:t>
            </w:r>
          </w:p>
        </w:tc>
        <w:tc>
          <w:tcPr>
            <w:tcW w:w="992"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77,8%</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5,6%</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2,39</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2,57</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2,57</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Škola systematicky učí prvkům iniciativy a kreativity, prostředí i přístup pedagogů podporuje fantazii a iniciativu dětí</w:t>
            </w:r>
          </w:p>
        </w:tc>
        <w:tc>
          <w:tcPr>
            <w:tcW w:w="992" w:type="dxa"/>
            <w:shd w:val="clear" w:color="000000" w:fill="D7E4BC"/>
            <w:tcMar>
              <w:top w:w="17" w:type="dxa"/>
              <w:left w:w="17" w:type="dxa"/>
              <w:bottom w:w="0" w:type="dxa"/>
              <w:right w:w="17" w:type="dxa"/>
            </w:tcMar>
            <w:vAlign w:val="center"/>
            <w:hideMark/>
          </w:tcPr>
          <w:p w:rsidR="00EF53D0" w:rsidRDefault="00EF53D0" w:rsidP="00EF53D0">
            <w:pPr>
              <w:pStyle w:val="Nzev"/>
              <w:jc w:val="center"/>
            </w:pPr>
            <w:r>
              <w:t>83,3%</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5,6%</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2,67</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2,95</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2,95</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Škola nabízí pestré možnosti seberealizace dětí, umožňuje dětem realizovat vlastní nápady (např. dramatizace textu atp.)</w:t>
            </w:r>
          </w:p>
        </w:tc>
        <w:tc>
          <w:tcPr>
            <w:tcW w:w="992" w:type="dxa"/>
            <w:shd w:val="clear" w:color="000000" w:fill="D7E4BC"/>
            <w:tcMar>
              <w:top w:w="17" w:type="dxa"/>
              <w:left w:w="17" w:type="dxa"/>
              <w:bottom w:w="0" w:type="dxa"/>
              <w:right w:w="17" w:type="dxa"/>
            </w:tcMar>
            <w:vAlign w:val="center"/>
            <w:hideMark/>
          </w:tcPr>
          <w:p w:rsidR="00EF53D0" w:rsidRDefault="00EF53D0" w:rsidP="00EF53D0">
            <w:pPr>
              <w:pStyle w:val="Nzev"/>
              <w:jc w:val="center"/>
            </w:pPr>
            <w:r>
              <w:t>88,9%</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5,6%</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2,78</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2,92</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2,97</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Škola informuje a spolupracuje v oblasti podpory kompetencí k iniciativě a kreativitě s rodiči (např. ukázky práce s dětmi pro rodiče, dny otevřených dveří apod.)</w:t>
            </w:r>
          </w:p>
        </w:tc>
        <w:tc>
          <w:tcPr>
            <w:tcW w:w="992" w:type="dxa"/>
            <w:shd w:val="clear" w:color="000000" w:fill="D7E4BC"/>
            <w:tcMar>
              <w:top w:w="17" w:type="dxa"/>
              <w:left w:w="17" w:type="dxa"/>
              <w:bottom w:w="0" w:type="dxa"/>
              <w:right w:w="17" w:type="dxa"/>
            </w:tcMar>
            <w:vAlign w:val="center"/>
            <w:hideMark/>
          </w:tcPr>
          <w:p w:rsidR="00EF53D0" w:rsidRDefault="00EF53D0" w:rsidP="00EF53D0">
            <w:pPr>
              <w:pStyle w:val="Nzev"/>
              <w:jc w:val="center"/>
            </w:pPr>
            <w:r>
              <w:t>83,3%</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0,0%</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2,78</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2,97</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3,01</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Škola disponuje dostatečným množstvím pomůcek pro rozvoj kreativity</w:t>
            </w:r>
          </w:p>
        </w:tc>
        <w:tc>
          <w:tcPr>
            <w:tcW w:w="992"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77,8%</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5,6%</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2,67</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2,70</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2,70</w:t>
            </w:r>
          </w:p>
        </w:tc>
      </w:tr>
      <w:tr w:rsidR="00C53D1A" w:rsidTr="00CF3B0F">
        <w:trPr>
          <w:trHeight w:val="227"/>
        </w:trPr>
        <w:tc>
          <w:tcPr>
            <w:tcW w:w="4837" w:type="dxa"/>
            <w:shd w:val="clear" w:color="auto" w:fill="auto"/>
            <w:tcMar>
              <w:top w:w="17" w:type="dxa"/>
              <w:left w:w="151" w:type="dxa"/>
              <w:bottom w:w="0" w:type="dxa"/>
              <w:right w:w="17" w:type="dxa"/>
            </w:tcMar>
            <w:vAlign w:val="center"/>
            <w:hideMark/>
          </w:tcPr>
          <w:p w:rsidR="00EF53D0" w:rsidRDefault="00EF53D0" w:rsidP="00EF53D0">
            <w:pPr>
              <w:pStyle w:val="Nzev"/>
              <w:ind w:left="-134"/>
              <w:jc w:val="left"/>
            </w:pPr>
            <w:r>
              <w:t>Ve škole je v rámci vzdělávacího procesu nastaveno bezpečné prostředí pro rozvoj kreativity, iniciativy a názorů dětí</w:t>
            </w:r>
          </w:p>
        </w:tc>
        <w:tc>
          <w:tcPr>
            <w:tcW w:w="992"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66,7%</w:t>
            </w:r>
          </w:p>
        </w:tc>
        <w:tc>
          <w:tcPr>
            <w:tcW w:w="1134"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16,7%</w:t>
            </w:r>
          </w:p>
        </w:tc>
        <w:tc>
          <w:tcPr>
            <w:tcW w:w="851" w:type="dxa"/>
            <w:shd w:val="clear" w:color="000000" w:fill="E6B9B8"/>
            <w:tcMar>
              <w:top w:w="17" w:type="dxa"/>
              <w:left w:w="17" w:type="dxa"/>
              <w:bottom w:w="0" w:type="dxa"/>
              <w:right w:w="17" w:type="dxa"/>
            </w:tcMar>
            <w:vAlign w:val="center"/>
            <w:hideMark/>
          </w:tcPr>
          <w:p w:rsidR="00EF53D0" w:rsidRDefault="00EF53D0" w:rsidP="00EF53D0">
            <w:pPr>
              <w:pStyle w:val="Nzev"/>
              <w:jc w:val="center"/>
            </w:pPr>
            <w:r>
              <w:t>2,94</w:t>
            </w:r>
          </w:p>
        </w:tc>
        <w:tc>
          <w:tcPr>
            <w:tcW w:w="708"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3,07</w:t>
            </w:r>
          </w:p>
        </w:tc>
        <w:tc>
          <w:tcPr>
            <w:tcW w:w="567" w:type="dxa"/>
            <w:shd w:val="clear" w:color="000000" w:fill="FFFFFF"/>
            <w:tcMar>
              <w:top w:w="17" w:type="dxa"/>
              <w:left w:w="17" w:type="dxa"/>
              <w:bottom w:w="0" w:type="dxa"/>
              <w:right w:w="17" w:type="dxa"/>
            </w:tcMar>
            <w:vAlign w:val="center"/>
            <w:hideMark/>
          </w:tcPr>
          <w:p w:rsidR="00EF53D0" w:rsidRDefault="00EF53D0" w:rsidP="00EF53D0">
            <w:pPr>
              <w:pStyle w:val="Nzev"/>
              <w:jc w:val="center"/>
            </w:pPr>
            <w:r>
              <w:t>3,08</w:t>
            </w:r>
          </w:p>
        </w:tc>
      </w:tr>
    </w:tbl>
    <w:p w:rsidR="000C072C" w:rsidRPr="000C072C" w:rsidRDefault="000C072C" w:rsidP="00E6133C">
      <w:pPr>
        <w:pStyle w:val="Bezmezer"/>
        <w:rPr>
          <w:lang w:eastAsia="cs-CZ"/>
        </w:rPr>
      </w:pPr>
      <w:r w:rsidRPr="000C072C">
        <w:rPr>
          <w:lang w:eastAsia="cs-CZ"/>
        </w:rPr>
        <w:t xml:space="preserve">Druhým výrazným primátem této oblasti je skutečnost, že bez výjimky </w:t>
      </w:r>
      <w:r w:rsidRPr="00F66D53">
        <w:rPr>
          <w:b/>
          <w:lang w:eastAsia="cs-CZ"/>
        </w:rPr>
        <w:t>ve všech tématech</w:t>
      </w:r>
      <w:r w:rsidRPr="000C072C">
        <w:rPr>
          <w:lang w:eastAsia="cs-CZ"/>
        </w:rPr>
        <w:t xml:space="preserve"> hodnotily </w:t>
      </w:r>
      <w:r w:rsidRPr="00F66D53">
        <w:rPr>
          <w:b/>
          <w:lang w:eastAsia="cs-CZ"/>
        </w:rPr>
        <w:t>MŠ v SO OPR Kutná Hora</w:t>
      </w:r>
      <w:r w:rsidRPr="000C072C">
        <w:rPr>
          <w:lang w:eastAsia="cs-CZ"/>
        </w:rPr>
        <w:t xml:space="preserve"> svůj </w:t>
      </w:r>
      <w:r w:rsidRPr="00F66D53">
        <w:rPr>
          <w:b/>
          <w:lang w:eastAsia="cs-CZ"/>
        </w:rPr>
        <w:t>a</w:t>
      </w:r>
      <w:r w:rsidR="00E6133C" w:rsidRPr="00F66D53">
        <w:rPr>
          <w:b/>
          <w:lang w:eastAsia="cs-CZ"/>
        </w:rPr>
        <w:t>ktuální stav</w:t>
      </w:r>
      <w:r w:rsidRPr="00F66D53">
        <w:rPr>
          <w:b/>
          <w:lang w:eastAsia="cs-CZ"/>
        </w:rPr>
        <w:t xml:space="preserve"> jako horší než je tomu na úrovni kraje i celého Česka</w:t>
      </w:r>
      <w:r w:rsidRPr="000C072C">
        <w:rPr>
          <w:lang w:eastAsia="cs-CZ"/>
        </w:rPr>
        <w:t>.</w:t>
      </w:r>
      <w:r w:rsidR="00114F08">
        <w:rPr>
          <w:lang w:eastAsia="cs-CZ"/>
        </w:rPr>
        <w:t xml:space="preserve"> Jde tedy o </w:t>
      </w:r>
      <w:r w:rsidR="00114F08" w:rsidRPr="00B45C34">
        <w:rPr>
          <w:b/>
          <w:lang w:eastAsia="cs-CZ"/>
        </w:rPr>
        <w:t>vzácnou shodu stanovení priorit a představě o současném stavu oblasti</w:t>
      </w:r>
      <w:r w:rsidR="00114F08">
        <w:rPr>
          <w:lang w:eastAsia="cs-CZ"/>
        </w:rPr>
        <w:t>.</w:t>
      </w:r>
    </w:p>
    <w:p w:rsidR="00E6133C" w:rsidRPr="0005656E" w:rsidRDefault="00114F08" w:rsidP="00E6133C">
      <w:pPr>
        <w:pStyle w:val="Bezmezer"/>
        <w:rPr>
          <w:lang w:eastAsia="cs-CZ"/>
        </w:rPr>
      </w:pPr>
      <w:r w:rsidRPr="0005656E">
        <w:rPr>
          <w:lang w:eastAsia="cs-CZ"/>
        </w:rPr>
        <w:t>Zbývá doplnit, jaké jsou dle zřizovatelů MŠ hlavní překážky dalšího rozvoje stanovených témat:</w:t>
      </w:r>
      <w:r w:rsidR="00E6133C" w:rsidRPr="0005656E">
        <w:rPr>
          <w:lang w:eastAsia="cs-CZ"/>
        </w:rPr>
        <w:t xml:space="preserve"> </w:t>
      </w:r>
    </w:p>
    <w:p w:rsidR="00E6133C" w:rsidRPr="0005656E" w:rsidRDefault="0005656E" w:rsidP="00E6133C">
      <w:pPr>
        <w:pStyle w:val="Nzev"/>
        <w:numPr>
          <w:ilvl w:val="0"/>
          <w:numId w:val="33"/>
        </w:numPr>
        <w:rPr>
          <w:rFonts w:eastAsia="Times New Roman"/>
          <w:lang w:eastAsia="cs-CZ"/>
        </w:rPr>
      </w:pPr>
      <w:r w:rsidRPr="0005656E">
        <w:rPr>
          <w:rFonts w:eastAsia="Times New Roman"/>
          <w:lang w:eastAsia="cs-CZ"/>
        </w:rPr>
        <w:t>Nedostatek finan</w:t>
      </w:r>
      <w:r w:rsidRPr="0005656E">
        <w:rPr>
          <w:rFonts w:eastAsia="Times New Roman" w:hint="eastAsia"/>
          <w:lang w:eastAsia="cs-CZ"/>
        </w:rPr>
        <w:t>č</w:t>
      </w:r>
      <w:r w:rsidRPr="0005656E">
        <w:rPr>
          <w:rFonts w:eastAsia="Times New Roman"/>
          <w:lang w:eastAsia="cs-CZ"/>
        </w:rPr>
        <w:t>ních prost</w:t>
      </w:r>
      <w:r w:rsidRPr="0005656E">
        <w:rPr>
          <w:rFonts w:eastAsia="Times New Roman" w:hint="eastAsia"/>
          <w:lang w:eastAsia="cs-CZ"/>
        </w:rPr>
        <w:t>ř</w:t>
      </w:r>
      <w:r w:rsidRPr="0005656E">
        <w:rPr>
          <w:rFonts w:eastAsia="Times New Roman"/>
          <w:lang w:eastAsia="cs-CZ"/>
        </w:rPr>
        <w:t>edk</w:t>
      </w:r>
      <w:r w:rsidRPr="0005656E">
        <w:rPr>
          <w:rFonts w:eastAsia="Times New Roman" w:hint="eastAsia"/>
          <w:lang w:eastAsia="cs-CZ"/>
        </w:rPr>
        <w:t>ů</w:t>
      </w:r>
      <w:r w:rsidRPr="0005656E">
        <w:rPr>
          <w:rFonts w:eastAsia="Times New Roman"/>
          <w:lang w:eastAsia="cs-CZ"/>
        </w:rPr>
        <w:t xml:space="preserve"> pro zajišt</w:t>
      </w:r>
      <w:r w:rsidRPr="0005656E">
        <w:rPr>
          <w:rFonts w:eastAsia="Times New Roman" w:hint="eastAsia"/>
          <w:lang w:eastAsia="cs-CZ"/>
        </w:rPr>
        <w:t>ě</w:t>
      </w:r>
      <w:r w:rsidRPr="0005656E">
        <w:rPr>
          <w:rFonts w:eastAsia="Times New Roman"/>
          <w:lang w:eastAsia="cs-CZ"/>
        </w:rPr>
        <w:t>ní pom</w:t>
      </w:r>
      <w:r w:rsidRPr="0005656E">
        <w:rPr>
          <w:rFonts w:eastAsia="Times New Roman" w:hint="eastAsia"/>
          <w:lang w:eastAsia="cs-CZ"/>
        </w:rPr>
        <w:t>ů</w:t>
      </w:r>
      <w:r w:rsidRPr="0005656E">
        <w:rPr>
          <w:rFonts w:eastAsia="Times New Roman"/>
          <w:lang w:eastAsia="cs-CZ"/>
        </w:rPr>
        <w:t>cek, literatury apod. pro rozvoj iniciativy a kreativity</w:t>
      </w:r>
      <w:r w:rsidR="00E6133C" w:rsidRPr="0005656E">
        <w:rPr>
          <w:rFonts w:eastAsia="Times New Roman"/>
          <w:lang w:eastAsia="cs-CZ"/>
        </w:rPr>
        <w:t xml:space="preserve"> (</w:t>
      </w:r>
      <w:r w:rsidRPr="0005656E">
        <w:rPr>
          <w:rFonts w:eastAsia="Times New Roman"/>
          <w:lang w:eastAsia="cs-CZ"/>
        </w:rPr>
        <w:t>50</w:t>
      </w:r>
      <w:r w:rsidR="00E6133C" w:rsidRPr="0005656E">
        <w:rPr>
          <w:rFonts w:eastAsia="Times New Roman"/>
          <w:lang w:eastAsia="cs-CZ"/>
        </w:rPr>
        <w:t xml:space="preserve"> %)</w:t>
      </w:r>
    </w:p>
    <w:p w:rsidR="00E6133C" w:rsidRPr="0005656E" w:rsidRDefault="0005656E" w:rsidP="00E6133C">
      <w:pPr>
        <w:pStyle w:val="Nzev"/>
        <w:numPr>
          <w:ilvl w:val="0"/>
          <w:numId w:val="33"/>
        </w:numPr>
        <w:rPr>
          <w:rFonts w:eastAsia="Times New Roman"/>
          <w:lang w:eastAsia="cs-CZ"/>
        </w:rPr>
      </w:pPr>
      <w:r w:rsidRPr="0005656E">
        <w:rPr>
          <w:rFonts w:eastAsia="Times New Roman"/>
          <w:lang w:eastAsia="cs-CZ"/>
        </w:rPr>
        <w:t>Nedostatek p</w:t>
      </w:r>
      <w:r w:rsidRPr="0005656E">
        <w:rPr>
          <w:rFonts w:eastAsia="Times New Roman" w:hint="eastAsia"/>
          <w:lang w:eastAsia="cs-CZ"/>
        </w:rPr>
        <w:t>ří</w:t>
      </w:r>
      <w:r w:rsidRPr="0005656E">
        <w:rPr>
          <w:rFonts w:eastAsia="Times New Roman"/>
          <w:lang w:eastAsia="cs-CZ"/>
        </w:rPr>
        <w:t>ležitosti k dalšímu vzd</w:t>
      </w:r>
      <w:r w:rsidRPr="0005656E">
        <w:rPr>
          <w:rFonts w:eastAsia="Times New Roman" w:hint="eastAsia"/>
          <w:lang w:eastAsia="cs-CZ"/>
        </w:rPr>
        <w:t>ě</w:t>
      </w:r>
      <w:r w:rsidRPr="0005656E">
        <w:rPr>
          <w:rFonts w:eastAsia="Times New Roman"/>
          <w:lang w:eastAsia="cs-CZ"/>
        </w:rPr>
        <w:t>lávání pedagogických pracovník</w:t>
      </w:r>
      <w:r w:rsidRPr="0005656E">
        <w:rPr>
          <w:rFonts w:eastAsia="Times New Roman" w:hint="eastAsia"/>
          <w:lang w:eastAsia="cs-CZ"/>
        </w:rPr>
        <w:t>ů</w:t>
      </w:r>
      <w:r w:rsidRPr="0005656E">
        <w:rPr>
          <w:rFonts w:eastAsia="Times New Roman"/>
          <w:lang w:eastAsia="cs-CZ"/>
        </w:rPr>
        <w:t xml:space="preserve"> v oblasti rozvoje iniciativy a kreativity</w:t>
      </w:r>
      <w:r w:rsidR="00E6133C" w:rsidRPr="0005656E">
        <w:rPr>
          <w:rFonts w:eastAsia="Times New Roman"/>
          <w:lang w:eastAsia="cs-CZ"/>
        </w:rPr>
        <w:t xml:space="preserve"> (</w:t>
      </w:r>
      <w:r w:rsidRPr="0005656E">
        <w:rPr>
          <w:rFonts w:eastAsia="Times New Roman"/>
          <w:lang w:eastAsia="cs-CZ"/>
        </w:rPr>
        <w:t xml:space="preserve">44,4 </w:t>
      </w:r>
      <w:r w:rsidR="00E6133C" w:rsidRPr="0005656E">
        <w:rPr>
          <w:rFonts w:eastAsia="Times New Roman"/>
          <w:lang w:eastAsia="cs-CZ"/>
        </w:rPr>
        <w:t>%)</w:t>
      </w:r>
    </w:p>
    <w:p w:rsidR="00E6133C" w:rsidRPr="007110C1" w:rsidRDefault="0005656E" w:rsidP="00E6133C">
      <w:pPr>
        <w:pStyle w:val="Nzev"/>
        <w:numPr>
          <w:ilvl w:val="0"/>
          <w:numId w:val="33"/>
        </w:numPr>
        <w:rPr>
          <w:rFonts w:eastAsia="Times New Roman"/>
          <w:lang w:eastAsia="cs-CZ"/>
        </w:rPr>
      </w:pPr>
      <w:r w:rsidRPr="0005656E">
        <w:rPr>
          <w:rFonts w:eastAsia="Times New Roman"/>
          <w:lang w:eastAsia="cs-CZ"/>
        </w:rPr>
        <w:t xml:space="preserve">Nedostupnost </w:t>
      </w:r>
      <w:r w:rsidRPr="007110C1">
        <w:rPr>
          <w:rFonts w:eastAsia="Times New Roman"/>
          <w:lang w:eastAsia="cs-CZ"/>
        </w:rPr>
        <w:t>informa</w:t>
      </w:r>
      <w:r w:rsidRPr="007110C1">
        <w:rPr>
          <w:rFonts w:eastAsia="Times New Roman" w:hint="eastAsia"/>
          <w:lang w:eastAsia="cs-CZ"/>
        </w:rPr>
        <w:t>č</w:t>
      </w:r>
      <w:r w:rsidRPr="007110C1">
        <w:rPr>
          <w:rFonts w:eastAsia="Times New Roman"/>
          <w:lang w:eastAsia="cs-CZ"/>
        </w:rPr>
        <w:t>ních a komunika</w:t>
      </w:r>
      <w:r w:rsidRPr="007110C1">
        <w:rPr>
          <w:rFonts w:eastAsia="Times New Roman" w:hint="eastAsia"/>
          <w:lang w:eastAsia="cs-CZ"/>
        </w:rPr>
        <w:t>č</w:t>
      </w:r>
      <w:r w:rsidRPr="007110C1">
        <w:rPr>
          <w:rFonts w:eastAsia="Times New Roman"/>
          <w:lang w:eastAsia="cs-CZ"/>
        </w:rPr>
        <w:t>ních technologií pro rozvoj iniciativy a kreativity</w:t>
      </w:r>
      <w:r w:rsidR="00E6133C" w:rsidRPr="007110C1">
        <w:rPr>
          <w:rFonts w:eastAsia="Times New Roman"/>
          <w:lang w:eastAsia="cs-CZ"/>
        </w:rPr>
        <w:t xml:space="preserve"> (</w:t>
      </w:r>
      <w:r w:rsidRPr="007110C1">
        <w:rPr>
          <w:rFonts w:eastAsia="Times New Roman"/>
          <w:lang w:eastAsia="cs-CZ"/>
        </w:rPr>
        <w:t>27</w:t>
      </w:r>
      <w:r w:rsidR="00E6133C" w:rsidRPr="007110C1">
        <w:rPr>
          <w:rFonts w:eastAsia="Times New Roman"/>
          <w:lang w:eastAsia="cs-CZ"/>
        </w:rPr>
        <w:t>,</w:t>
      </w:r>
      <w:r w:rsidRPr="007110C1">
        <w:rPr>
          <w:rFonts w:eastAsia="Times New Roman"/>
          <w:lang w:eastAsia="cs-CZ"/>
        </w:rPr>
        <w:t>8</w:t>
      </w:r>
      <w:r w:rsidR="00E6133C" w:rsidRPr="007110C1">
        <w:rPr>
          <w:rFonts w:eastAsia="Times New Roman"/>
          <w:lang w:eastAsia="cs-CZ"/>
        </w:rPr>
        <w:t xml:space="preserve"> %)</w:t>
      </w:r>
    </w:p>
    <w:p w:rsidR="00E6133C" w:rsidRPr="007110C1" w:rsidRDefault="007110C1" w:rsidP="00E6133C">
      <w:pPr>
        <w:pStyle w:val="Bezmezer"/>
        <w:rPr>
          <w:lang w:eastAsia="cs-CZ"/>
        </w:rPr>
      </w:pPr>
      <w:r w:rsidRPr="007110C1">
        <w:rPr>
          <w:lang w:eastAsia="cs-CZ"/>
        </w:rPr>
        <w:lastRenderedPageBreak/>
        <w:t xml:space="preserve">Seznam hlavních překážek je nepřekvapivý. </w:t>
      </w:r>
      <w:r w:rsidRPr="00A15499">
        <w:rPr>
          <w:b/>
          <w:lang w:eastAsia="cs-CZ"/>
        </w:rPr>
        <w:t>Málo finančních prostředků</w:t>
      </w:r>
      <w:r w:rsidRPr="007110C1">
        <w:rPr>
          <w:lang w:eastAsia="cs-CZ"/>
        </w:rPr>
        <w:t xml:space="preserve"> na materiální zázemí, nedostatek příležitostí pro </w:t>
      </w:r>
      <w:r w:rsidRPr="00A15499">
        <w:rPr>
          <w:b/>
          <w:lang w:eastAsia="cs-CZ"/>
        </w:rPr>
        <w:t>rozvoj dovedností pedagogů</w:t>
      </w:r>
      <w:r w:rsidRPr="007110C1">
        <w:rPr>
          <w:lang w:eastAsia="cs-CZ"/>
        </w:rPr>
        <w:t xml:space="preserve"> a </w:t>
      </w:r>
      <w:r w:rsidRPr="00A15499">
        <w:rPr>
          <w:b/>
          <w:lang w:eastAsia="cs-CZ"/>
        </w:rPr>
        <w:t xml:space="preserve">nízká dostupnost </w:t>
      </w:r>
      <w:r w:rsidRPr="00A15499">
        <w:rPr>
          <w:lang w:eastAsia="cs-CZ"/>
        </w:rPr>
        <w:t>podpůrných</w:t>
      </w:r>
      <w:r w:rsidRPr="00A15499">
        <w:rPr>
          <w:b/>
          <w:lang w:eastAsia="cs-CZ"/>
        </w:rPr>
        <w:t xml:space="preserve"> technologií</w:t>
      </w:r>
      <w:r w:rsidRPr="007110C1">
        <w:rPr>
          <w:lang w:eastAsia="cs-CZ"/>
        </w:rPr>
        <w:t xml:space="preserve">. </w:t>
      </w:r>
    </w:p>
    <w:p w:rsidR="00E6133C" w:rsidRPr="00E265C8" w:rsidRDefault="00E6133C" w:rsidP="00E6133C">
      <w:pPr>
        <w:pStyle w:val="Bezmezer"/>
        <w:rPr>
          <w:u w:val="single"/>
        </w:rPr>
      </w:pPr>
      <w:r w:rsidRPr="00E265C8">
        <w:rPr>
          <w:u w:val="single"/>
        </w:rPr>
        <w:t>Podpora polytechnického vzdělávání</w:t>
      </w:r>
    </w:p>
    <w:p w:rsidR="00E6133C" w:rsidRPr="0050508A" w:rsidRDefault="002364E6" w:rsidP="00E6133C">
      <w:pPr>
        <w:pStyle w:val="Bezmezer"/>
      </w:pPr>
      <w:r w:rsidRPr="00286D09">
        <w:t>MŠ</w:t>
      </w:r>
      <w:r w:rsidR="00E6133C" w:rsidRPr="00286D09">
        <w:t xml:space="preserve"> v této oblasti hodnotily </w:t>
      </w:r>
      <w:r w:rsidR="00794E26" w:rsidRPr="00286D09">
        <w:t>jedenáct</w:t>
      </w:r>
      <w:r w:rsidR="00E6133C" w:rsidRPr="00286D09">
        <w:t xml:space="preserve"> témat. P</w:t>
      </w:r>
      <w:r w:rsidR="00286D09" w:rsidRPr="00286D09">
        <w:t xml:space="preserve">ředestřeme-li nejprve </w:t>
      </w:r>
      <w:r w:rsidR="001B6AB0">
        <w:t>ta</w:t>
      </w:r>
      <w:r w:rsidR="00286D09" w:rsidRPr="00286D09">
        <w:t>, kterými by se MŠ chtěly nejčastěji zaobírat v nadcházejícím období, je to těchto sedm:</w:t>
      </w:r>
    </w:p>
    <w:p w:rsidR="0050508A" w:rsidRPr="0050508A" w:rsidRDefault="0050508A" w:rsidP="0050508A">
      <w:pPr>
        <w:pStyle w:val="Nzev"/>
        <w:numPr>
          <w:ilvl w:val="0"/>
          <w:numId w:val="32"/>
        </w:numPr>
        <w:rPr>
          <w:rFonts w:eastAsia="Times New Roman"/>
          <w:lang w:eastAsia="cs-CZ"/>
        </w:rPr>
      </w:pPr>
      <w:r w:rsidRPr="00794E26">
        <w:rPr>
          <w:rFonts w:eastAsia="Times New Roman"/>
          <w:lang w:eastAsia="cs-CZ"/>
        </w:rPr>
        <w:t>Škola podporuje samostatnou práci dětí v oblasti polytechnického vzdělávání</w:t>
      </w:r>
      <w:r w:rsidRPr="0050508A">
        <w:rPr>
          <w:rFonts w:eastAsia="Times New Roman"/>
          <w:lang w:eastAsia="cs-CZ"/>
        </w:rPr>
        <w:t xml:space="preserve"> (94,4 %)</w:t>
      </w:r>
    </w:p>
    <w:p w:rsidR="0050508A" w:rsidRPr="0050508A" w:rsidRDefault="0050508A" w:rsidP="0050508A">
      <w:pPr>
        <w:pStyle w:val="Nzev"/>
        <w:numPr>
          <w:ilvl w:val="0"/>
          <w:numId w:val="32"/>
        </w:numPr>
        <w:rPr>
          <w:rFonts w:eastAsia="Times New Roman"/>
          <w:lang w:eastAsia="cs-CZ"/>
        </w:rPr>
      </w:pPr>
      <w:r w:rsidRPr="00794E26">
        <w:rPr>
          <w:rFonts w:eastAsia="Times New Roman"/>
          <w:lang w:eastAsia="cs-CZ"/>
        </w:rPr>
        <w:t>Technické, přírodovědné a environmentální vzdělávání je na naší škole realizováno v souladu s RVP PV</w:t>
      </w:r>
      <w:r w:rsidRPr="0050508A">
        <w:rPr>
          <w:rFonts w:eastAsia="Times New Roman"/>
          <w:lang w:eastAsia="cs-CZ"/>
        </w:rPr>
        <w:t xml:space="preserve"> (83,3 %)</w:t>
      </w:r>
    </w:p>
    <w:p w:rsidR="0050508A" w:rsidRPr="0050508A" w:rsidRDefault="0050508A" w:rsidP="0050508A">
      <w:pPr>
        <w:pStyle w:val="Nzev"/>
        <w:numPr>
          <w:ilvl w:val="0"/>
          <w:numId w:val="32"/>
        </w:numPr>
        <w:rPr>
          <w:rFonts w:eastAsia="Times New Roman"/>
          <w:lang w:eastAsia="cs-CZ"/>
        </w:rPr>
      </w:pPr>
      <w:r w:rsidRPr="00794E26">
        <w:rPr>
          <w:rFonts w:eastAsia="Times New Roman"/>
          <w:lang w:eastAsia="cs-CZ"/>
        </w:rPr>
        <w:t>Učitelé MŠ rozvíjejí své znalosti v oblasti polytechnického vzdělávání a využívají je ve výchově (kurzy dalšího vzdělávání, studium literatury aj.)</w:t>
      </w:r>
      <w:r w:rsidRPr="0050508A">
        <w:rPr>
          <w:rFonts w:eastAsia="Times New Roman"/>
          <w:lang w:eastAsia="cs-CZ"/>
        </w:rPr>
        <w:t xml:space="preserve"> (83,3 %)</w:t>
      </w:r>
    </w:p>
    <w:p w:rsidR="0050508A" w:rsidRPr="0050508A" w:rsidRDefault="0050508A" w:rsidP="0050508A">
      <w:pPr>
        <w:pStyle w:val="Nzev"/>
        <w:numPr>
          <w:ilvl w:val="0"/>
          <w:numId w:val="32"/>
        </w:numPr>
        <w:rPr>
          <w:rFonts w:eastAsia="Times New Roman"/>
          <w:lang w:eastAsia="cs-CZ"/>
        </w:rPr>
      </w:pPr>
      <w:r w:rsidRPr="00794E26">
        <w:rPr>
          <w:rFonts w:eastAsia="Times New Roman"/>
          <w:lang w:eastAsia="cs-CZ"/>
        </w:rPr>
        <w:t>Učitelé MŠ využívají poznatky v praxi a sdílejí dobrou praxi v oblasti rozvoje polytechnického vzdělávání mezi sebou i s učiteli z jiných škol</w:t>
      </w:r>
      <w:r w:rsidRPr="0050508A">
        <w:rPr>
          <w:rFonts w:eastAsia="Times New Roman"/>
          <w:lang w:eastAsia="cs-CZ"/>
        </w:rPr>
        <w:t xml:space="preserve"> (83,3 %)</w:t>
      </w:r>
    </w:p>
    <w:p w:rsidR="0050508A" w:rsidRPr="0050508A" w:rsidRDefault="0050508A" w:rsidP="0050508A">
      <w:pPr>
        <w:pStyle w:val="Nzev"/>
        <w:numPr>
          <w:ilvl w:val="0"/>
          <w:numId w:val="32"/>
        </w:numPr>
        <w:rPr>
          <w:rFonts w:eastAsia="Times New Roman"/>
          <w:lang w:eastAsia="cs-CZ"/>
        </w:rPr>
      </w:pPr>
      <w:r w:rsidRPr="00794E26">
        <w:rPr>
          <w:rFonts w:eastAsia="Times New Roman"/>
          <w:lang w:eastAsia="cs-CZ"/>
        </w:rPr>
        <w:t>Škola disponuje vzdělávacími materiály pro vzdělávání polytechnického charakteru</w:t>
      </w:r>
      <w:r w:rsidRPr="0050508A">
        <w:rPr>
          <w:rFonts w:eastAsia="Times New Roman"/>
          <w:lang w:eastAsia="cs-CZ"/>
        </w:rPr>
        <w:t xml:space="preserve"> (83,3 %)</w:t>
      </w:r>
    </w:p>
    <w:p w:rsidR="0050508A" w:rsidRPr="0050508A" w:rsidRDefault="0050508A" w:rsidP="0050508A">
      <w:pPr>
        <w:pStyle w:val="Nzev"/>
        <w:numPr>
          <w:ilvl w:val="0"/>
          <w:numId w:val="32"/>
        </w:numPr>
        <w:rPr>
          <w:rFonts w:eastAsia="Times New Roman"/>
          <w:lang w:eastAsia="cs-CZ"/>
        </w:rPr>
      </w:pPr>
      <w:r w:rsidRPr="00794E26">
        <w:rPr>
          <w:rFonts w:eastAsia="Times New Roman"/>
          <w:lang w:eastAsia="cs-CZ"/>
        </w:rPr>
        <w:t>Škola informuje a spolupracuje v oblasti polytechnického vzdělávání s rodiči (např. výstavky prací, představení systému školy v oblasti polytechnického vzdělávání, kroužků, aktivit apod.)</w:t>
      </w:r>
      <w:r w:rsidRPr="0050508A">
        <w:rPr>
          <w:rFonts w:eastAsia="Times New Roman"/>
          <w:lang w:eastAsia="cs-CZ"/>
        </w:rPr>
        <w:t xml:space="preserve"> (83,3 %)</w:t>
      </w:r>
    </w:p>
    <w:p w:rsidR="0050508A" w:rsidRPr="00CD2B89" w:rsidRDefault="0050508A" w:rsidP="0050508A">
      <w:pPr>
        <w:pStyle w:val="Nzev"/>
        <w:numPr>
          <w:ilvl w:val="0"/>
          <w:numId w:val="32"/>
        </w:numPr>
        <w:rPr>
          <w:rFonts w:eastAsia="Times New Roman"/>
          <w:lang w:eastAsia="cs-CZ"/>
        </w:rPr>
      </w:pPr>
      <w:r w:rsidRPr="00794E26">
        <w:rPr>
          <w:rFonts w:eastAsia="Times New Roman"/>
          <w:lang w:eastAsia="cs-CZ"/>
        </w:rPr>
        <w:t>Škola disponuje dostatečným technickým a materiálním zabezpečením pro rozvíjení prostorového a logického myšlení a manuálních dov</w:t>
      </w:r>
      <w:r w:rsidRPr="00CD2B89">
        <w:rPr>
          <w:rFonts w:eastAsia="Times New Roman"/>
          <w:lang w:eastAsia="cs-CZ"/>
        </w:rPr>
        <w:t>edností (83,3 %)</w:t>
      </w:r>
    </w:p>
    <w:p w:rsidR="00E21DD3" w:rsidRDefault="00CD2B89" w:rsidP="00E6133C">
      <w:pPr>
        <w:pStyle w:val="Bezmezer"/>
        <w:rPr>
          <w:lang w:eastAsia="cs-CZ"/>
        </w:rPr>
      </w:pPr>
      <w:r w:rsidRPr="00CD2B89">
        <w:rPr>
          <w:lang w:eastAsia="cs-CZ"/>
        </w:rPr>
        <w:t xml:space="preserve">Sedm </w:t>
      </w:r>
      <w:r w:rsidR="002D2647">
        <w:rPr>
          <w:lang w:eastAsia="cs-CZ"/>
        </w:rPr>
        <w:t xml:space="preserve">prioritních </w:t>
      </w:r>
      <w:r w:rsidRPr="00CD2B89">
        <w:rPr>
          <w:lang w:eastAsia="cs-CZ"/>
        </w:rPr>
        <w:t xml:space="preserve">témat z jedenácti je sám o sobě velmi vysoký poměr, což značí </w:t>
      </w:r>
      <w:r w:rsidRPr="008A64B8">
        <w:rPr>
          <w:b/>
          <w:lang w:eastAsia="cs-CZ"/>
        </w:rPr>
        <w:t>vysoký z</w:t>
      </w:r>
      <w:r w:rsidR="00B147B1" w:rsidRPr="008A64B8">
        <w:rPr>
          <w:b/>
          <w:lang w:eastAsia="cs-CZ"/>
        </w:rPr>
        <w:t>á</w:t>
      </w:r>
      <w:r w:rsidRPr="008A64B8">
        <w:rPr>
          <w:b/>
          <w:lang w:eastAsia="cs-CZ"/>
        </w:rPr>
        <w:t xml:space="preserve">jem mateřských škol o polytechnické </w:t>
      </w:r>
      <w:r w:rsidR="00B147B1" w:rsidRPr="008A64B8">
        <w:rPr>
          <w:b/>
          <w:lang w:eastAsia="cs-CZ"/>
        </w:rPr>
        <w:t>vzdělávání</w:t>
      </w:r>
      <w:r w:rsidRPr="00CD2B89">
        <w:rPr>
          <w:lang w:eastAsia="cs-CZ"/>
        </w:rPr>
        <w:t>.</w:t>
      </w:r>
      <w:r w:rsidR="00B147B1">
        <w:rPr>
          <w:lang w:eastAsia="cs-CZ"/>
        </w:rPr>
        <w:t xml:space="preserve"> Vůbec nejvyšší počet škol se vyjádřil pro </w:t>
      </w:r>
      <w:r w:rsidR="00B147B1" w:rsidRPr="00DD3FC7">
        <w:rPr>
          <w:b/>
          <w:lang w:eastAsia="cs-CZ"/>
        </w:rPr>
        <w:t>samostatnou práci dětí</w:t>
      </w:r>
      <w:r w:rsidR="00B147B1">
        <w:rPr>
          <w:lang w:eastAsia="cs-CZ"/>
        </w:rPr>
        <w:t xml:space="preserve"> v řešené oblasti (94,4 % je zároveň vůbec nejvyšší hodnota v rámci celého předškolního vzdělávání</w:t>
      </w:r>
      <w:r w:rsidR="002C0CBA">
        <w:rPr>
          <w:lang w:eastAsia="cs-CZ"/>
        </w:rPr>
        <w:t>!</w:t>
      </w:r>
      <w:r w:rsidR="00B147B1">
        <w:rPr>
          <w:lang w:eastAsia="cs-CZ"/>
        </w:rPr>
        <w:t>).</w:t>
      </w:r>
      <w:r w:rsidR="00C302FF">
        <w:rPr>
          <w:lang w:eastAsia="cs-CZ"/>
        </w:rPr>
        <w:t xml:space="preserve"> </w:t>
      </w:r>
      <w:r w:rsidR="00DC7D90">
        <w:rPr>
          <w:lang w:eastAsia="cs-CZ"/>
        </w:rPr>
        <w:t xml:space="preserve">Další prioritou většiny mateřských škol je </w:t>
      </w:r>
      <w:r w:rsidR="00DC7D90" w:rsidRPr="00BF0742">
        <w:rPr>
          <w:b/>
          <w:lang w:eastAsia="cs-CZ"/>
        </w:rPr>
        <w:t>soulad polytechnického vzdělávání s RVP PV</w:t>
      </w:r>
      <w:r w:rsidR="00DD3FC7">
        <w:rPr>
          <w:lang w:eastAsia="cs-CZ"/>
        </w:rPr>
        <w:t xml:space="preserve"> a na stejné hladině najdeme „obligátní“ témata</w:t>
      </w:r>
      <w:r w:rsidR="00BF0742">
        <w:rPr>
          <w:lang w:eastAsia="cs-CZ"/>
        </w:rPr>
        <w:t xml:space="preserve"> </w:t>
      </w:r>
      <w:r w:rsidR="00BF0742" w:rsidRPr="00BF0742">
        <w:rPr>
          <w:b/>
          <w:lang w:eastAsia="cs-CZ"/>
        </w:rPr>
        <w:t xml:space="preserve">materiálního zázemí, kvality pedagogů a </w:t>
      </w:r>
      <w:r w:rsidR="00BF0742" w:rsidRPr="00BF0742">
        <w:rPr>
          <w:lang w:eastAsia="cs-CZ"/>
        </w:rPr>
        <w:t>samozřejmě</w:t>
      </w:r>
      <w:r w:rsidR="00BF0742" w:rsidRPr="00BF0742">
        <w:rPr>
          <w:b/>
          <w:lang w:eastAsia="cs-CZ"/>
        </w:rPr>
        <w:t xml:space="preserve"> financí</w:t>
      </w:r>
      <w:r w:rsidR="00BF0742">
        <w:rPr>
          <w:lang w:eastAsia="cs-CZ"/>
        </w:rPr>
        <w:t xml:space="preserve">. Nedílnou součástí úspěšného předškolního vzdělávání je potom </w:t>
      </w:r>
      <w:r w:rsidR="00BF0742" w:rsidRPr="00BF0742">
        <w:rPr>
          <w:b/>
          <w:lang w:eastAsia="cs-CZ"/>
        </w:rPr>
        <w:t>pravidelná kvalitní komunikace s rodiči</w:t>
      </w:r>
      <w:r w:rsidR="00BF0742">
        <w:rPr>
          <w:lang w:eastAsia="cs-CZ"/>
        </w:rPr>
        <w:t>.</w:t>
      </w:r>
    </w:p>
    <w:p w:rsidR="00CD2B89" w:rsidRPr="00CD2B89" w:rsidRDefault="00E21DD3" w:rsidP="00E6133C">
      <w:pPr>
        <w:pStyle w:val="Bezmezer"/>
        <w:rPr>
          <w:lang w:eastAsia="cs-CZ"/>
        </w:rPr>
      </w:pPr>
      <w:r w:rsidRPr="00E21DD3">
        <w:rPr>
          <w:b/>
          <w:lang w:eastAsia="cs-CZ"/>
        </w:rPr>
        <w:t>Nejnižší priorita</w:t>
      </w:r>
      <w:r>
        <w:rPr>
          <w:lang w:eastAsia="cs-CZ"/>
        </w:rPr>
        <w:t xml:space="preserve"> je přiřazena využívání </w:t>
      </w:r>
      <w:r w:rsidRPr="00E21DD3">
        <w:rPr>
          <w:b/>
          <w:lang w:eastAsia="cs-CZ"/>
        </w:rPr>
        <w:t>informačních a komunikačních technologií</w:t>
      </w:r>
      <w:r>
        <w:rPr>
          <w:lang w:eastAsia="cs-CZ"/>
        </w:rPr>
        <w:t xml:space="preserve">. Zdálo by se tedy, že tato informaci si protiřečí s dosud vyřčeným, ale vše je vybalancováno druhým obdobím, kde má o téma zájem 33 % MŠ, podíl v rámci celé analýzy nevídaný. MŠ tedy počítají s delším „záběhem“ moderních technologií jak do struktury chodu školky, tak především při osvojování pedagogů a s touto problematikou nespěchají, i když jsou si vědomi jejího významu. </w:t>
      </w:r>
      <w:r w:rsidR="00BF0742">
        <w:rPr>
          <w:lang w:eastAsia="cs-CZ"/>
        </w:rPr>
        <w:t xml:space="preserve"> </w:t>
      </w:r>
    </w:p>
    <w:p w:rsidR="00E6133C" w:rsidRPr="00794E26" w:rsidRDefault="00E6133C" w:rsidP="00E6133C">
      <w:pPr>
        <w:pStyle w:val="Nadpis5"/>
      </w:pPr>
      <w:r w:rsidRPr="00794E26">
        <w:t>Tabulka</w:t>
      </w:r>
      <w:r w:rsidRPr="00794E26">
        <w:rPr>
          <w:szCs w:val="20"/>
        </w:rPr>
        <w:t>: Polytechnické vzdělávání</w:t>
      </w:r>
    </w:p>
    <w:tbl>
      <w:tblPr>
        <w:tblW w:w="9089" w:type="dxa"/>
        <w:tblInd w:w="53" w:type="dxa"/>
        <w:tblBorders>
          <w:insideH w:val="single" w:sz="8" w:space="0" w:color="000000"/>
          <w:insideV w:val="single" w:sz="8" w:space="0" w:color="000000"/>
        </w:tblBorders>
        <w:tblLayout w:type="fixed"/>
        <w:tblCellMar>
          <w:left w:w="70" w:type="dxa"/>
          <w:right w:w="70" w:type="dxa"/>
        </w:tblCellMar>
        <w:tblLook w:val="04A0"/>
      </w:tblPr>
      <w:tblGrid>
        <w:gridCol w:w="4837"/>
        <w:gridCol w:w="992"/>
        <w:gridCol w:w="1056"/>
        <w:gridCol w:w="929"/>
        <w:gridCol w:w="708"/>
        <w:gridCol w:w="567"/>
      </w:tblGrid>
      <w:tr w:rsidR="00794E26" w:rsidRPr="00794E26" w:rsidTr="005649B3">
        <w:trPr>
          <w:trHeight w:val="227"/>
        </w:trPr>
        <w:tc>
          <w:tcPr>
            <w:tcW w:w="4837" w:type="dxa"/>
            <w:vMerge w:val="restart"/>
            <w:shd w:val="clear" w:color="000000" w:fill="FAC090"/>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 </w:t>
            </w:r>
          </w:p>
        </w:tc>
        <w:tc>
          <w:tcPr>
            <w:tcW w:w="2048" w:type="dxa"/>
            <w:gridSpan w:val="2"/>
            <w:shd w:val="clear" w:color="000000" w:fill="FAC090"/>
            <w:vAlign w:val="bottom"/>
            <w:hideMark/>
          </w:tcPr>
          <w:p w:rsidR="00794E26" w:rsidRPr="00794E26" w:rsidRDefault="00794E26" w:rsidP="00794E26">
            <w:pPr>
              <w:pStyle w:val="Nzev"/>
              <w:jc w:val="center"/>
              <w:rPr>
                <w:rFonts w:eastAsia="Times New Roman"/>
                <w:lang w:eastAsia="cs-CZ"/>
              </w:rPr>
            </w:pPr>
            <w:r w:rsidRPr="00794E26">
              <w:rPr>
                <w:rFonts w:eastAsia="Times New Roman"/>
                <w:lang w:eastAsia="cs-CZ"/>
              </w:rPr>
              <w:t>Podíl MŠ v rámci SO ORP plánujících zlepšení</w:t>
            </w:r>
          </w:p>
        </w:tc>
        <w:tc>
          <w:tcPr>
            <w:tcW w:w="2204" w:type="dxa"/>
            <w:gridSpan w:val="3"/>
            <w:shd w:val="clear" w:color="000000" w:fill="FAC090"/>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Průměrné hodnocení aktuálního stavu</w:t>
            </w:r>
          </w:p>
        </w:tc>
      </w:tr>
      <w:tr w:rsidR="005649B3" w:rsidRPr="00794E26" w:rsidTr="005649B3">
        <w:trPr>
          <w:trHeight w:val="227"/>
        </w:trPr>
        <w:tc>
          <w:tcPr>
            <w:tcW w:w="4837" w:type="dxa"/>
            <w:vMerge/>
            <w:vAlign w:val="center"/>
            <w:hideMark/>
          </w:tcPr>
          <w:p w:rsidR="00794E26" w:rsidRPr="00794E26" w:rsidRDefault="00794E26" w:rsidP="00794E26">
            <w:pPr>
              <w:pStyle w:val="Nzev"/>
              <w:ind w:left="-53"/>
              <w:jc w:val="left"/>
              <w:rPr>
                <w:rFonts w:eastAsia="Times New Roman"/>
                <w:lang w:eastAsia="cs-CZ"/>
              </w:rPr>
            </w:pPr>
          </w:p>
        </w:tc>
        <w:tc>
          <w:tcPr>
            <w:tcW w:w="992" w:type="dxa"/>
            <w:shd w:val="clear" w:color="000000" w:fill="FAC090"/>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2016–18</w:t>
            </w:r>
          </w:p>
        </w:tc>
        <w:tc>
          <w:tcPr>
            <w:tcW w:w="1056" w:type="dxa"/>
            <w:shd w:val="clear" w:color="000000" w:fill="FAC090"/>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2019–20</w:t>
            </w:r>
          </w:p>
        </w:tc>
        <w:tc>
          <w:tcPr>
            <w:tcW w:w="929" w:type="dxa"/>
            <w:shd w:val="clear" w:color="000000" w:fill="FAC090"/>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SO ORP</w:t>
            </w:r>
          </w:p>
        </w:tc>
        <w:tc>
          <w:tcPr>
            <w:tcW w:w="708" w:type="dxa"/>
            <w:shd w:val="clear" w:color="000000" w:fill="FAC090"/>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kraj</w:t>
            </w:r>
          </w:p>
        </w:tc>
        <w:tc>
          <w:tcPr>
            <w:tcW w:w="567" w:type="dxa"/>
            <w:shd w:val="clear" w:color="000000" w:fill="FAC090"/>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ČR</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Technické, přírodovědné a environmentální vzdělávání je na naší škole realizováno v souladu s RVP PV</w:t>
            </w:r>
          </w:p>
        </w:tc>
        <w:tc>
          <w:tcPr>
            <w:tcW w:w="992" w:type="dxa"/>
            <w:shd w:val="clear" w:color="000000" w:fill="D7E4BC"/>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83,3%</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0,0%</w:t>
            </w:r>
          </w:p>
        </w:tc>
        <w:tc>
          <w:tcPr>
            <w:tcW w:w="929" w:type="dxa"/>
            <w:shd w:val="clear" w:color="000000" w:fill="E6B9B8"/>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2,78</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2,81</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2,85</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Ve škole existuje osoba zodpovědná za rozvoj polytechnického vzdělávání, schopná poradit, doporučovat dětem nebo učitelům</w:t>
            </w:r>
          </w:p>
        </w:tc>
        <w:tc>
          <w:tcPr>
            <w:tcW w:w="992"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61,1%</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5,6%</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1,72</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1,69</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1,69</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Učitelé MŠ rozvíjejí své znalosti v oblasti polytechnického vzdělávání a využívají je ve výchově (kurzy dalšího vzdělávání, studium literatury aj.)</w:t>
            </w:r>
          </w:p>
        </w:tc>
        <w:tc>
          <w:tcPr>
            <w:tcW w:w="992" w:type="dxa"/>
            <w:shd w:val="clear" w:color="000000" w:fill="D7E4BC"/>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83,3%</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0,0%</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2,67</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2,53</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2,50</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Učitelé MŠ využívají poznatky v praxi a sdílejí dobrou praxi v oblasti rozvoje polytechnického vzdělávání mezi sebou i s učiteli z jiných škol</w:t>
            </w:r>
          </w:p>
        </w:tc>
        <w:tc>
          <w:tcPr>
            <w:tcW w:w="992" w:type="dxa"/>
            <w:shd w:val="clear" w:color="000000" w:fill="D7E4BC"/>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83,3%</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11,1%</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2,28</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2,29</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2,27</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Škola disponuje vzdělávacími materiály pro vzdělávání polytechnického charakteru</w:t>
            </w:r>
          </w:p>
        </w:tc>
        <w:tc>
          <w:tcPr>
            <w:tcW w:w="992" w:type="dxa"/>
            <w:shd w:val="clear" w:color="000000" w:fill="D7E4BC"/>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83,3%</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11,1%</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2,39</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2,29</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2,29</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Škola aktivně spolupracuje s jinými MŠ a ZŠ v oblasti polytechniky</w:t>
            </w:r>
          </w:p>
        </w:tc>
        <w:tc>
          <w:tcPr>
            <w:tcW w:w="992"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77,8%</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5,6%</w:t>
            </w:r>
          </w:p>
        </w:tc>
        <w:tc>
          <w:tcPr>
            <w:tcW w:w="929" w:type="dxa"/>
            <w:shd w:val="clear" w:color="000000" w:fill="E6B9B8"/>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1,56</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1,62</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1,60</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lastRenderedPageBreak/>
              <w:t>Škola podporuje samostatnou práci dětí v oblasti polytechnického vzdělávání</w:t>
            </w:r>
          </w:p>
        </w:tc>
        <w:tc>
          <w:tcPr>
            <w:tcW w:w="992" w:type="dxa"/>
            <w:shd w:val="clear" w:color="000000" w:fill="D7E4BC"/>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94,4%</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0,0%</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2,56</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2,50</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2,55</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Škola podporuje individuální práci s dětmi s mimořádným zájmem o polytechniku</w:t>
            </w:r>
          </w:p>
        </w:tc>
        <w:tc>
          <w:tcPr>
            <w:tcW w:w="992"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66,7%</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5,6%</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2,28</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2,19</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2,24</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Škola informuje a spolupracuje v oblasti polytechnického vzdělávání s rodiči (např. výstavky prací, představení systému školy v oblasti polytechnického vzdělávání, kroužků, aktivit apod.)</w:t>
            </w:r>
          </w:p>
        </w:tc>
        <w:tc>
          <w:tcPr>
            <w:tcW w:w="992" w:type="dxa"/>
            <w:shd w:val="clear" w:color="000000" w:fill="D7E4BC"/>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83,3%</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11,1%</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2,50</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2,37</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2,41</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Škola disponuje dostatečným technickým a materiálním zabezpečením pro rozvíjení prostorového a logického myšlení a manuálních dovedností</w:t>
            </w:r>
          </w:p>
        </w:tc>
        <w:tc>
          <w:tcPr>
            <w:tcW w:w="992" w:type="dxa"/>
            <w:shd w:val="clear" w:color="000000" w:fill="D7E4BC"/>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83,3%</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11,1%</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2,39</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2,29</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2,31</w:t>
            </w:r>
          </w:p>
        </w:tc>
      </w:tr>
      <w:tr w:rsidR="005649B3" w:rsidRPr="00794E26" w:rsidTr="005649B3">
        <w:trPr>
          <w:trHeight w:val="227"/>
        </w:trPr>
        <w:tc>
          <w:tcPr>
            <w:tcW w:w="4837" w:type="dxa"/>
            <w:shd w:val="clear" w:color="auto" w:fill="auto"/>
            <w:vAlign w:val="center"/>
            <w:hideMark/>
          </w:tcPr>
          <w:p w:rsidR="00794E26" w:rsidRPr="00794E26" w:rsidRDefault="00794E26" w:rsidP="00794E26">
            <w:pPr>
              <w:pStyle w:val="Nzev"/>
              <w:ind w:left="-53"/>
              <w:jc w:val="left"/>
              <w:rPr>
                <w:rFonts w:eastAsia="Times New Roman"/>
                <w:lang w:eastAsia="cs-CZ"/>
              </w:rPr>
            </w:pPr>
            <w:r w:rsidRPr="00794E26">
              <w:rPr>
                <w:rFonts w:eastAsia="Times New Roman"/>
                <w:lang w:eastAsia="cs-CZ"/>
              </w:rPr>
              <w:t>Škola využívá informační a komunikační technologie v oblasti rozvoje polytechnického vzdělávání</w:t>
            </w:r>
          </w:p>
        </w:tc>
        <w:tc>
          <w:tcPr>
            <w:tcW w:w="992"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55,6%</w:t>
            </w:r>
          </w:p>
        </w:tc>
        <w:tc>
          <w:tcPr>
            <w:tcW w:w="1056"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33,3%</w:t>
            </w:r>
          </w:p>
        </w:tc>
        <w:tc>
          <w:tcPr>
            <w:tcW w:w="929"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2,11</w:t>
            </w:r>
          </w:p>
        </w:tc>
        <w:tc>
          <w:tcPr>
            <w:tcW w:w="708"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2,04</w:t>
            </w:r>
          </w:p>
        </w:tc>
        <w:tc>
          <w:tcPr>
            <w:tcW w:w="567" w:type="dxa"/>
            <w:shd w:val="clear" w:color="000000" w:fill="FFFFFF"/>
            <w:vAlign w:val="center"/>
            <w:hideMark/>
          </w:tcPr>
          <w:p w:rsidR="00794E26" w:rsidRPr="00794E26" w:rsidRDefault="00794E26" w:rsidP="00794E26">
            <w:pPr>
              <w:pStyle w:val="Nzev"/>
              <w:jc w:val="center"/>
              <w:rPr>
                <w:rFonts w:eastAsia="Times New Roman"/>
                <w:lang w:eastAsia="cs-CZ"/>
              </w:rPr>
            </w:pPr>
            <w:r w:rsidRPr="00794E26">
              <w:rPr>
                <w:rFonts w:eastAsia="Times New Roman"/>
                <w:lang w:eastAsia="cs-CZ"/>
              </w:rPr>
              <w:t>2,02</w:t>
            </w:r>
          </w:p>
        </w:tc>
      </w:tr>
    </w:tbl>
    <w:p w:rsidR="009909D8" w:rsidRDefault="00EF28EC" w:rsidP="00E6133C">
      <w:pPr>
        <w:pStyle w:val="Bezmezer"/>
        <w:rPr>
          <w:lang w:eastAsia="cs-CZ"/>
        </w:rPr>
      </w:pPr>
      <w:r w:rsidRPr="00EF28EC">
        <w:rPr>
          <w:lang w:eastAsia="cs-CZ"/>
        </w:rPr>
        <w:t>Nejnižší čísl</w:t>
      </w:r>
      <w:r w:rsidR="003F6043">
        <w:rPr>
          <w:lang w:eastAsia="cs-CZ"/>
        </w:rPr>
        <w:t>a</w:t>
      </w:r>
      <w:r w:rsidRPr="00EF28EC">
        <w:rPr>
          <w:lang w:eastAsia="cs-CZ"/>
        </w:rPr>
        <w:t xml:space="preserve"> v rámci aktuálního hodnocení se týká </w:t>
      </w:r>
      <w:r w:rsidR="003F6043">
        <w:rPr>
          <w:lang w:eastAsia="cs-CZ"/>
        </w:rPr>
        <w:t xml:space="preserve">za </w:t>
      </w:r>
      <w:proofErr w:type="gramStart"/>
      <w:r w:rsidR="003F6043">
        <w:rPr>
          <w:lang w:eastAsia="cs-CZ"/>
        </w:rPr>
        <w:t>prvé</w:t>
      </w:r>
      <w:proofErr w:type="gramEnd"/>
      <w:r w:rsidR="003F6043">
        <w:rPr>
          <w:lang w:eastAsia="cs-CZ"/>
        </w:rPr>
        <w:t xml:space="preserve"> </w:t>
      </w:r>
      <w:r w:rsidRPr="00EF28EC">
        <w:rPr>
          <w:lang w:eastAsia="cs-CZ"/>
        </w:rPr>
        <w:t xml:space="preserve">tématu </w:t>
      </w:r>
      <w:r w:rsidR="003F6043">
        <w:rPr>
          <w:lang w:eastAsia="cs-CZ"/>
        </w:rPr>
        <w:t xml:space="preserve">spolupráce MŠ s ostatními MŠ a ZŠ v oblasti polytechniky a za druhé </w:t>
      </w:r>
      <w:r w:rsidRPr="00EF28EC">
        <w:rPr>
          <w:lang w:eastAsia="cs-CZ"/>
        </w:rPr>
        <w:t>specializované osoby zodpovědné za rozvoj pol</w:t>
      </w:r>
      <w:r>
        <w:rPr>
          <w:lang w:eastAsia="cs-CZ"/>
        </w:rPr>
        <w:t>ytechnického vzdělávání, schopné</w:t>
      </w:r>
      <w:r w:rsidRPr="00EF28EC">
        <w:rPr>
          <w:lang w:eastAsia="cs-CZ"/>
        </w:rPr>
        <w:t xml:space="preserve"> </w:t>
      </w:r>
      <w:r>
        <w:rPr>
          <w:lang w:eastAsia="cs-CZ"/>
        </w:rPr>
        <w:t xml:space="preserve">poradit </w:t>
      </w:r>
      <w:r w:rsidRPr="00EF28EC">
        <w:rPr>
          <w:lang w:eastAsia="cs-CZ"/>
        </w:rPr>
        <w:t xml:space="preserve">dětem </w:t>
      </w:r>
      <w:r>
        <w:rPr>
          <w:lang w:eastAsia="cs-CZ"/>
        </w:rPr>
        <w:t>i</w:t>
      </w:r>
      <w:r w:rsidRPr="00EF28EC">
        <w:rPr>
          <w:lang w:eastAsia="cs-CZ"/>
        </w:rPr>
        <w:t xml:space="preserve"> učitelům</w:t>
      </w:r>
      <w:r>
        <w:rPr>
          <w:lang w:eastAsia="cs-CZ"/>
        </w:rPr>
        <w:t>.</w:t>
      </w:r>
      <w:r w:rsidR="00046B1E">
        <w:rPr>
          <w:lang w:eastAsia="cs-CZ"/>
        </w:rPr>
        <w:t xml:space="preserve"> </w:t>
      </w:r>
    </w:p>
    <w:p w:rsidR="00EF28EC" w:rsidRDefault="00046B1E" w:rsidP="00E6133C">
      <w:pPr>
        <w:pStyle w:val="Bezmezer"/>
        <w:rPr>
          <w:lang w:eastAsia="cs-CZ"/>
        </w:rPr>
      </w:pPr>
      <w:r>
        <w:rPr>
          <w:lang w:eastAsia="cs-CZ"/>
        </w:rPr>
        <w:t xml:space="preserve">Otázka </w:t>
      </w:r>
      <w:r w:rsidRPr="009909D8">
        <w:rPr>
          <w:b/>
          <w:lang w:eastAsia="cs-CZ"/>
        </w:rPr>
        <w:t>vzájemné ochoty MŠ a ZŠ ke spolupráci na učebních osnovách</w:t>
      </w:r>
      <w:r>
        <w:rPr>
          <w:lang w:eastAsia="cs-CZ"/>
        </w:rPr>
        <w:t xml:space="preserve"> a jejich návaznosti mezi různými vzdělávacími stupni spadá do ranku témat táhnoucí se celou touto prací a totiž do ranku </w:t>
      </w:r>
      <w:r w:rsidRPr="009909D8">
        <w:rPr>
          <w:b/>
          <w:lang w:eastAsia="cs-CZ"/>
        </w:rPr>
        <w:t>vzájemné komunikace</w:t>
      </w:r>
      <w:r>
        <w:rPr>
          <w:lang w:eastAsia="cs-CZ"/>
        </w:rPr>
        <w:t>. To, že se do tohoto tématu školám obecně nechce a zároveň ho hodnotí celkově jako spíše nevyvinuté (jak uvidíme v analýze týkající se ZŠ, platí to i opačně)</w:t>
      </w:r>
      <w:r w:rsidR="009909D8">
        <w:rPr>
          <w:lang w:eastAsia="cs-CZ"/>
        </w:rPr>
        <w:t>,</w:t>
      </w:r>
      <w:r>
        <w:rPr>
          <w:lang w:eastAsia="cs-CZ"/>
        </w:rPr>
        <w:t xml:space="preserve"> lecos napovídá o míře spolupráce škol na poli vzdělávání. Jedním dechem je však potřeba upozornit, že </w:t>
      </w:r>
      <w:r w:rsidRPr="009909D8">
        <w:rPr>
          <w:b/>
          <w:lang w:eastAsia="cs-CZ"/>
        </w:rPr>
        <w:t>spíše než o</w:t>
      </w:r>
      <w:r>
        <w:rPr>
          <w:lang w:eastAsia="cs-CZ"/>
        </w:rPr>
        <w:t xml:space="preserve"> opravdovou </w:t>
      </w:r>
      <w:r w:rsidRPr="009909D8">
        <w:rPr>
          <w:b/>
          <w:lang w:eastAsia="cs-CZ"/>
        </w:rPr>
        <w:t>neochotu institucí půjde o zúžený manévrovací prostor</w:t>
      </w:r>
      <w:r>
        <w:rPr>
          <w:lang w:eastAsia="cs-CZ"/>
        </w:rPr>
        <w:t xml:space="preserve">. Prostor zúžený </w:t>
      </w:r>
      <w:r w:rsidRPr="009909D8">
        <w:rPr>
          <w:b/>
          <w:lang w:eastAsia="cs-CZ"/>
        </w:rPr>
        <w:t>finančně, materiálně, personálně</w:t>
      </w:r>
      <w:r>
        <w:rPr>
          <w:lang w:eastAsia="cs-CZ"/>
        </w:rPr>
        <w:t>.</w:t>
      </w:r>
      <w:r w:rsidR="009909D8">
        <w:rPr>
          <w:lang w:eastAsia="cs-CZ"/>
        </w:rPr>
        <w:t xml:space="preserve"> Tím do velké míry reagujeme na problematiku osoby</w:t>
      </w:r>
      <w:r w:rsidR="009909D8" w:rsidRPr="009909D8">
        <w:rPr>
          <w:lang w:eastAsia="cs-CZ"/>
        </w:rPr>
        <w:t xml:space="preserve"> </w:t>
      </w:r>
      <w:r w:rsidR="009909D8">
        <w:rPr>
          <w:lang w:eastAsia="cs-CZ"/>
        </w:rPr>
        <w:t xml:space="preserve">zodpovědné za rozvoj polytechnického vzdělávání. Jedná se totiž o natolik specializovanou profesi, že si ji většina školek zkrátka </w:t>
      </w:r>
      <w:r w:rsidR="009909D8" w:rsidRPr="009909D8">
        <w:rPr>
          <w:b/>
          <w:lang w:eastAsia="cs-CZ"/>
        </w:rPr>
        <w:t>nemůže dovolit</w:t>
      </w:r>
      <w:r w:rsidR="009909D8">
        <w:rPr>
          <w:lang w:eastAsia="cs-CZ"/>
        </w:rPr>
        <w:t>.</w:t>
      </w:r>
    </w:p>
    <w:p w:rsidR="00E6133C" w:rsidRPr="009909D8" w:rsidRDefault="00E6133C" w:rsidP="00E6133C">
      <w:pPr>
        <w:pStyle w:val="Bezmezer"/>
        <w:rPr>
          <w:lang w:eastAsia="cs-CZ"/>
        </w:rPr>
      </w:pPr>
      <w:r w:rsidRPr="009909D8">
        <w:rPr>
          <w:lang w:eastAsia="cs-CZ"/>
        </w:rPr>
        <w:t xml:space="preserve">Další sebrané informace týkající se procentuálního podílu </w:t>
      </w:r>
      <w:r w:rsidR="009909D8" w:rsidRPr="009909D8">
        <w:rPr>
          <w:lang w:eastAsia="cs-CZ"/>
        </w:rPr>
        <w:t xml:space="preserve">mateřských </w:t>
      </w:r>
      <w:r w:rsidRPr="009909D8">
        <w:rPr>
          <w:lang w:eastAsia="cs-CZ"/>
        </w:rPr>
        <w:t xml:space="preserve">škol v rámci SO ORP KH narážejících na danou překážku pak </w:t>
      </w:r>
      <w:r w:rsidR="009909D8" w:rsidRPr="009909D8">
        <w:rPr>
          <w:lang w:eastAsia="cs-CZ"/>
        </w:rPr>
        <w:t>předešlé potvrzují</w:t>
      </w:r>
      <w:r w:rsidRPr="009909D8">
        <w:rPr>
          <w:lang w:eastAsia="cs-CZ"/>
        </w:rPr>
        <w:t xml:space="preserve">: </w:t>
      </w:r>
    </w:p>
    <w:p w:rsidR="00E6133C" w:rsidRPr="009909D8" w:rsidRDefault="009909D8" w:rsidP="00E6133C">
      <w:pPr>
        <w:pStyle w:val="Nzev"/>
        <w:numPr>
          <w:ilvl w:val="0"/>
          <w:numId w:val="33"/>
        </w:numPr>
        <w:rPr>
          <w:rFonts w:eastAsia="Times New Roman"/>
          <w:lang w:eastAsia="cs-CZ"/>
        </w:rPr>
      </w:pPr>
      <w:r w:rsidRPr="009909D8">
        <w:rPr>
          <w:rFonts w:eastAsia="Times New Roman"/>
          <w:lang w:eastAsia="cs-CZ"/>
        </w:rPr>
        <w:t>Nedostatek financí na podporu polytechnického vzd</w:t>
      </w:r>
      <w:r w:rsidRPr="009909D8">
        <w:rPr>
          <w:rFonts w:eastAsia="Times New Roman" w:hint="eastAsia"/>
          <w:lang w:eastAsia="cs-CZ"/>
        </w:rPr>
        <w:t>ě</w:t>
      </w:r>
      <w:r w:rsidRPr="009909D8">
        <w:rPr>
          <w:rFonts w:eastAsia="Times New Roman"/>
          <w:lang w:eastAsia="cs-CZ"/>
        </w:rPr>
        <w:t xml:space="preserve">lávání </w:t>
      </w:r>
      <w:r w:rsidR="00E6133C" w:rsidRPr="009909D8">
        <w:rPr>
          <w:rFonts w:eastAsia="Times New Roman"/>
          <w:lang w:eastAsia="cs-CZ"/>
        </w:rPr>
        <w:t>(</w:t>
      </w:r>
      <w:r w:rsidRPr="009909D8">
        <w:rPr>
          <w:rFonts w:eastAsia="Times New Roman"/>
          <w:lang w:eastAsia="cs-CZ"/>
        </w:rPr>
        <w:t>66</w:t>
      </w:r>
      <w:r w:rsidR="00E6133C" w:rsidRPr="009909D8">
        <w:rPr>
          <w:rFonts w:eastAsia="Times New Roman"/>
          <w:lang w:eastAsia="cs-CZ"/>
        </w:rPr>
        <w:t>,</w:t>
      </w:r>
      <w:r w:rsidRPr="009909D8">
        <w:rPr>
          <w:rFonts w:eastAsia="Times New Roman"/>
          <w:lang w:eastAsia="cs-CZ"/>
        </w:rPr>
        <w:t>7</w:t>
      </w:r>
      <w:r w:rsidR="00E6133C" w:rsidRPr="009909D8">
        <w:rPr>
          <w:rFonts w:eastAsia="Times New Roman"/>
          <w:lang w:eastAsia="cs-CZ"/>
        </w:rPr>
        <w:t xml:space="preserve"> %)</w:t>
      </w:r>
    </w:p>
    <w:p w:rsidR="00E6133C" w:rsidRPr="009909D8" w:rsidRDefault="009909D8" w:rsidP="00E6133C">
      <w:pPr>
        <w:pStyle w:val="Nzev"/>
        <w:numPr>
          <w:ilvl w:val="0"/>
          <w:numId w:val="33"/>
        </w:numPr>
        <w:rPr>
          <w:rFonts w:eastAsia="Times New Roman"/>
          <w:lang w:eastAsia="cs-CZ"/>
        </w:rPr>
      </w:pPr>
      <w:r w:rsidRPr="009909D8">
        <w:rPr>
          <w:rFonts w:eastAsia="Times New Roman"/>
          <w:lang w:eastAsia="cs-CZ"/>
        </w:rPr>
        <w:t>Absence pozice samostatného pracovníka nebo pracovník</w:t>
      </w:r>
      <w:r w:rsidRPr="009909D8">
        <w:rPr>
          <w:rFonts w:eastAsia="Times New Roman" w:hint="eastAsia"/>
          <w:lang w:eastAsia="cs-CZ"/>
        </w:rPr>
        <w:t>ů</w:t>
      </w:r>
      <w:r w:rsidRPr="009909D8">
        <w:rPr>
          <w:rFonts w:eastAsia="Times New Roman"/>
          <w:lang w:eastAsia="cs-CZ"/>
        </w:rPr>
        <w:t xml:space="preserve"> pro rozvoj polytechnického vzd</w:t>
      </w:r>
      <w:r w:rsidRPr="009909D8">
        <w:rPr>
          <w:rFonts w:eastAsia="Times New Roman" w:hint="eastAsia"/>
          <w:lang w:eastAsia="cs-CZ"/>
        </w:rPr>
        <w:t>ě</w:t>
      </w:r>
      <w:r w:rsidRPr="009909D8">
        <w:rPr>
          <w:rFonts w:eastAsia="Times New Roman"/>
          <w:lang w:eastAsia="cs-CZ"/>
        </w:rPr>
        <w:t>lávání</w:t>
      </w:r>
      <w:r w:rsidR="00E6133C" w:rsidRPr="009909D8">
        <w:rPr>
          <w:rFonts w:eastAsia="Times New Roman"/>
          <w:lang w:eastAsia="cs-CZ"/>
        </w:rPr>
        <w:t xml:space="preserve"> (</w:t>
      </w:r>
      <w:r w:rsidRPr="009909D8">
        <w:rPr>
          <w:rFonts w:eastAsia="Times New Roman"/>
          <w:lang w:eastAsia="cs-CZ"/>
        </w:rPr>
        <w:t>44</w:t>
      </w:r>
      <w:r w:rsidR="00E6133C" w:rsidRPr="009909D8">
        <w:rPr>
          <w:rFonts w:eastAsia="Times New Roman"/>
          <w:lang w:eastAsia="cs-CZ"/>
        </w:rPr>
        <w:t>,</w:t>
      </w:r>
      <w:r w:rsidRPr="009909D8">
        <w:rPr>
          <w:rFonts w:eastAsia="Times New Roman"/>
          <w:lang w:eastAsia="cs-CZ"/>
        </w:rPr>
        <w:t>4</w:t>
      </w:r>
      <w:r w:rsidR="00E6133C" w:rsidRPr="009909D8">
        <w:rPr>
          <w:rFonts w:eastAsia="Times New Roman"/>
          <w:lang w:eastAsia="cs-CZ"/>
        </w:rPr>
        <w:t xml:space="preserve"> %)</w:t>
      </w:r>
    </w:p>
    <w:p w:rsidR="00E6133C" w:rsidRPr="009909D8" w:rsidRDefault="009909D8" w:rsidP="00E6133C">
      <w:pPr>
        <w:pStyle w:val="Nzev"/>
        <w:numPr>
          <w:ilvl w:val="0"/>
          <w:numId w:val="33"/>
        </w:numPr>
        <w:rPr>
          <w:rFonts w:eastAsia="Times New Roman"/>
          <w:lang w:eastAsia="cs-CZ"/>
        </w:rPr>
      </w:pPr>
      <w:r w:rsidRPr="009909D8">
        <w:rPr>
          <w:rFonts w:eastAsia="Times New Roman"/>
          <w:lang w:eastAsia="cs-CZ"/>
        </w:rPr>
        <w:t>Nedostatek p</w:t>
      </w:r>
      <w:r w:rsidRPr="009909D8">
        <w:rPr>
          <w:rFonts w:eastAsia="Times New Roman" w:hint="eastAsia"/>
          <w:lang w:eastAsia="cs-CZ"/>
        </w:rPr>
        <w:t>ří</w:t>
      </w:r>
      <w:r w:rsidRPr="009909D8">
        <w:rPr>
          <w:rFonts w:eastAsia="Times New Roman"/>
          <w:lang w:eastAsia="cs-CZ"/>
        </w:rPr>
        <w:t>ležitostí k dalšímu vzd</w:t>
      </w:r>
      <w:r w:rsidRPr="009909D8">
        <w:rPr>
          <w:rFonts w:eastAsia="Times New Roman" w:hint="eastAsia"/>
          <w:lang w:eastAsia="cs-CZ"/>
        </w:rPr>
        <w:t>ě</w:t>
      </w:r>
      <w:r w:rsidRPr="009909D8">
        <w:rPr>
          <w:rFonts w:eastAsia="Times New Roman"/>
          <w:lang w:eastAsia="cs-CZ"/>
        </w:rPr>
        <w:t>lávání pedagogických pracovník</w:t>
      </w:r>
      <w:r w:rsidRPr="009909D8">
        <w:rPr>
          <w:rFonts w:eastAsia="Times New Roman" w:hint="eastAsia"/>
          <w:lang w:eastAsia="cs-CZ"/>
        </w:rPr>
        <w:t>ů</w:t>
      </w:r>
      <w:r w:rsidRPr="009909D8">
        <w:rPr>
          <w:rFonts w:eastAsia="Times New Roman"/>
          <w:lang w:eastAsia="cs-CZ"/>
        </w:rPr>
        <w:t xml:space="preserve"> v oblasti polytechniky</w:t>
      </w:r>
      <w:r w:rsidR="00E6133C" w:rsidRPr="009909D8">
        <w:rPr>
          <w:rFonts w:eastAsia="Times New Roman"/>
          <w:lang w:eastAsia="cs-CZ"/>
        </w:rPr>
        <w:t xml:space="preserve"> (</w:t>
      </w:r>
      <w:r w:rsidRPr="009909D8">
        <w:rPr>
          <w:rFonts w:eastAsia="Times New Roman"/>
          <w:lang w:eastAsia="cs-CZ"/>
        </w:rPr>
        <w:t>38</w:t>
      </w:r>
      <w:r w:rsidR="00E6133C" w:rsidRPr="009909D8">
        <w:rPr>
          <w:rFonts w:eastAsia="Times New Roman"/>
          <w:lang w:eastAsia="cs-CZ"/>
        </w:rPr>
        <w:t>,</w:t>
      </w:r>
      <w:r w:rsidRPr="009909D8">
        <w:rPr>
          <w:rFonts w:eastAsia="Times New Roman"/>
          <w:lang w:eastAsia="cs-CZ"/>
        </w:rPr>
        <w:t>9</w:t>
      </w:r>
      <w:r w:rsidR="00E6133C" w:rsidRPr="009909D8">
        <w:rPr>
          <w:rFonts w:eastAsia="Times New Roman"/>
          <w:lang w:eastAsia="cs-CZ"/>
        </w:rPr>
        <w:t xml:space="preserve"> %)</w:t>
      </w:r>
    </w:p>
    <w:p w:rsidR="00E6133C" w:rsidRPr="00BD3F1C" w:rsidRDefault="00E6133C" w:rsidP="00E6133C">
      <w:pPr>
        <w:pStyle w:val="Bezmezer"/>
        <w:rPr>
          <w:u w:val="single"/>
        </w:rPr>
      </w:pPr>
      <w:r w:rsidRPr="00E265C8">
        <w:rPr>
          <w:u w:val="single"/>
        </w:rPr>
        <w:t xml:space="preserve">Podpora sociálních a občanských </w:t>
      </w:r>
      <w:r w:rsidRPr="00BD3F1C">
        <w:rPr>
          <w:u w:val="single"/>
        </w:rPr>
        <w:t>dovedností a dalších klíčových kompetencí</w:t>
      </w:r>
    </w:p>
    <w:p w:rsidR="00E6133C" w:rsidRPr="00E6133C" w:rsidRDefault="00E6133C" w:rsidP="00E6133C">
      <w:pPr>
        <w:pStyle w:val="Bezmezer"/>
        <w:rPr>
          <w:highlight w:val="yellow"/>
        </w:rPr>
      </w:pPr>
      <w:r w:rsidRPr="00BD3F1C">
        <w:t xml:space="preserve">Oblast sociálních a občanských dovedností je teprve </w:t>
      </w:r>
      <w:r w:rsidR="00BD3F1C" w:rsidRPr="00BD3F1C">
        <w:t>druhou</w:t>
      </w:r>
      <w:r w:rsidRPr="00BD3F1C">
        <w:t xml:space="preserve"> oblastí, ve které </w:t>
      </w:r>
      <w:r w:rsidRPr="00BD3F1C">
        <w:rPr>
          <w:b/>
        </w:rPr>
        <w:t xml:space="preserve">hodnota priority </w:t>
      </w:r>
      <w:r w:rsidRPr="003927AE">
        <w:rPr>
          <w:b/>
        </w:rPr>
        <w:t>ani jednoho tématu v prvním období neklesla pod 60 %</w:t>
      </w:r>
      <w:r w:rsidRPr="003927AE">
        <w:t xml:space="preserve"> (</w:t>
      </w:r>
      <w:r w:rsidR="00BD3F1C" w:rsidRPr="003927AE">
        <w:t>druhou je podpora kompetencí k iniciativ</w:t>
      </w:r>
      <w:r w:rsidR="00BD3F1C" w:rsidRPr="003927AE">
        <w:rPr>
          <w:rFonts w:hint="eastAsia"/>
        </w:rPr>
        <w:t>ě</w:t>
      </w:r>
      <w:r w:rsidR="00BD3F1C" w:rsidRPr="003927AE">
        <w:t xml:space="preserve"> a kreativit</w:t>
      </w:r>
      <w:r w:rsidR="00BD3F1C" w:rsidRPr="003927AE">
        <w:rPr>
          <w:rFonts w:hint="eastAsia"/>
        </w:rPr>
        <w:t>ě</w:t>
      </w:r>
      <w:r w:rsidRPr="003927AE">
        <w:t xml:space="preserve">). Z </w:t>
      </w:r>
      <w:r w:rsidR="003927AE" w:rsidRPr="003927AE">
        <w:t>devíti</w:t>
      </w:r>
      <w:r w:rsidRPr="003927AE">
        <w:t xml:space="preserve"> témat oblasti patří mezi </w:t>
      </w:r>
      <w:r w:rsidR="003927AE" w:rsidRPr="003927AE">
        <w:t>čtyři</w:t>
      </w:r>
      <w:r w:rsidRPr="003927AE">
        <w:t xml:space="preserve"> nejčastěji zmiňovaná tyto:</w:t>
      </w:r>
    </w:p>
    <w:p w:rsidR="003927AE" w:rsidRPr="003927AE" w:rsidRDefault="003927AE" w:rsidP="003927AE">
      <w:pPr>
        <w:pStyle w:val="Nzev"/>
        <w:numPr>
          <w:ilvl w:val="0"/>
          <w:numId w:val="32"/>
        </w:numPr>
        <w:rPr>
          <w:rFonts w:eastAsia="Times New Roman"/>
          <w:lang w:eastAsia="cs-CZ"/>
        </w:rPr>
      </w:pPr>
      <w:r w:rsidRPr="003927AE">
        <w:rPr>
          <w:rFonts w:ascii="Calibri" w:eastAsia="Times New Roman" w:hAnsi="Calibri" w:cs="Times New Roman"/>
          <w:sz w:val="20"/>
          <w:szCs w:val="20"/>
          <w:lang w:eastAsia="cs-CZ"/>
        </w:rPr>
        <w:t>Uvnit</w:t>
      </w:r>
      <w:r w:rsidRPr="003927AE">
        <w:rPr>
          <w:rFonts w:ascii="Calibri" w:eastAsia="Times New Roman" w:hAnsi="Calibri" w:cs="Times New Roman" w:hint="eastAsia"/>
          <w:sz w:val="20"/>
          <w:szCs w:val="20"/>
          <w:lang w:eastAsia="cs-CZ"/>
        </w:rPr>
        <w:t>ř</w:t>
      </w:r>
      <w:r w:rsidRPr="003927AE">
        <w:rPr>
          <w:rFonts w:ascii="Calibri" w:eastAsia="Times New Roman" w:hAnsi="Calibri" w:cs="Times New Roman"/>
          <w:sz w:val="20"/>
          <w:szCs w:val="20"/>
          <w:lang w:eastAsia="cs-CZ"/>
        </w:rPr>
        <w:t xml:space="preserve"> školy se p</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stuje vzájemná spolupráce u</w:t>
      </w:r>
      <w:r w:rsidRPr="003927AE">
        <w:rPr>
          <w:rFonts w:ascii="Calibri" w:eastAsia="Times New Roman" w:hAnsi="Calibri" w:cs="Times New Roman" w:hint="eastAsia"/>
          <w:sz w:val="20"/>
          <w:szCs w:val="20"/>
          <w:lang w:eastAsia="cs-CZ"/>
        </w:rPr>
        <w:t>č</w:t>
      </w:r>
      <w:r w:rsidRPr="003927AE">
        <w:rPr>
          <w:rFonts w:ascii="Calibri" w:eastAsia="Times New Roman" w:hAnsi="Calibri" w:cs="Times New Roman"/>
          <w:sz w:val="20"/>
          <w:szCs w:val="20"/>
          <w:lang w:eastAsia="cs-CZ"/>
        </w:rPr>
        <w:t>itele, rodi</w:t>
      </w:r>
      <w:r w:rsidRPr="003927AE">
        <w:rPr>
          <w:rFonts w:ascii="Calibri" w:eastAsia="Times New Roman" w:hAnsi="Calibri" w:cs="Times New Roman" w:hint="eastAsia"/>
          <w:sz w:val="20"/>
          <w:szCs w:val="20"/>
          <w:lang w:eastAsia="cs-CZ"/>
        </w:rPr>
        <w:t>čů</w:t>
      </w:r>
      <w:r w:rsidRPr="003927AE">
        <w:rPr>
          <w:rFonts w:ascii="Calibri" w:eastAsia="Times New Roman" w:hAnsi="Calibri" w:cs="Times New Roman"/>
          <w:sz w:val="20"/>
          <w:szCs w:val="20"/>
          <w:lang w:eastAsia="cs-CZ"/>
        </w:rPr>
        <w:t xml:space="preserve"> a d</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tí</w:t>
      </w:r>
      <w:r w:rsidRPr="003927AE">
        <w:rPr>
          <w:rFonts w:eastAsia="Times New Roman"/>
          <w:lang w:eastAsia="cs-CZ"/>
        </w:rPr>
        <w:t xml:space="preserve"> (83,3 %)</w:t>
      </w:r>
    </w:p>
    <w:p w:rsidR="003927AE" w:rsidRPr="003927AE" w:rsidRDefault="003927AE" w:rsidP="003927AE">
      <w:pPr>
        <w:pStyle w:val="Nzev"/>
        <w:numPr>
          <w:ilvl w:val="0"/>
          <w:numId w:val="32"/>
        </w:numPr>
        <w:rPr>
          <w:rFonts w:eastAsia="Times New Roman"/>
          <w:lang w:eastAsia="cs-CZ"/>
        </w:rPr>
      </w:pPr>
      <w:r w:rsidRPr="003927AE">
        <w:rPr>
          <w:rFonts w:ascii="Calibri" w:eastAsia="Times New Roman" w:hAnsi="Calibri" w:cs="Times New Roman"/>
          <w:sz w:val="20"/>
          <w:szCs w:val="20"/>
          <w:lang w:eastAsia="cs-CZ"/>
        </w:rPr>
        <w:t>Škola u d</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tí rozvíjí schopnosti sebereflexe a sebehodnocení</w:t>
      </w:r>
      <w:r w:rsidRPr="003927AE">
        <w:rPr>
          <w:rFonts w:eastAsia="Times New Roman"/>
          <w:lang w:eastAsia="cs-CZ"/>
        </w:rPr>
        <w:t xml:space="preserve"> (83,3 %)</w:t>
      </w:r>
    </w:p>
    <w:p w:rsidR="003927AE" w:rsidRPr="003927AE" w:rsidRDefault="003927AE" w:rsidP="003927AE">
      <w:pPr>
        <w:pStyle w:val="Nzev"/>
        <w:numPr>
          <w:ilvl w:val="0"/>
          <w:numId w:val="32"/>
        </w:numPr>
        <w:rPr>
          <w:rFonts w:eastAsia="Times New Roman"/>
          <w:lang w:eastAsia="cs-CZ"/>
        </w:rPr>
      </w:pPr>
      <w:r w:rsidRPr="003927AE">
        <w:rPr>
          <w:rFonts w:ascii="Calibri" w:eastAsia="Times New Roman" w:hAnsi="Calibri" w:cs="Times New Roman"/>
          <w:sz w:val="20"/>
          <w:szCs w:val="20"/>
          <w:lang w:eastAsia="cs-CZ"/>
        </w:rPr>
        <w:t>Ve škole je p</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stováno kulturní pov</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domí a kulturní komunikace (tj. rozvoj tv</w:t>
      </w:r>
      <w:r w:rsidRPr="003927AE">
        <w:rPr>
          <w:rFonts w:ascii="Calibri" w:eastAsia="Times New Roman" w:hAnsi="Calibri" w:cs="Times New Roman" w:hint="eastAsia"/>
          <w:sz w:val="20"/>
          <w:szCs w:val="20"/>
          <w:lang w:eastAsia="cs-CZ"/>
        </w:rPr>
        <w:t>ů</w:t>
      </w:r>
      <w:r w:rsidRPr="003927AE">
        <w:rPr>
          <w:rFonts w:ascii="Calibri" w:eastAsia="Times New Roman" w:hAnsi="Calibri" w:cs="Times New Roman"/>
          <w:sz w:val="20"/>
          <w:szCs w:val="20"/>
          <w:lang w:eastAsia="cs-CZ"/>
        </w:rPr>
        <w:t>r</w:t>
      </w:r>
      <w:r w:rsidRPr="003927AE">
        <w:rPr>
          <w:rFonts w:ascii="Calibri" w:eastAsia="Times New Roman" w:hAnsi="Calibri" w:cs="Times New Roman" w:hint="eastAsia"/>
          <w:sz w:val="20"/>
          <w:szCs w:val="20"/>
          <w:lang w:eastAsia="cs-CZ"/>
        </w:rPr>
        <w:t>čí</w:t>
      </w:r>
      <w:r w:rsidRPr="003927AE">
        <w:rPr>
          <w:rFonts w:ascii="Calibri" w:eastAsia="Times New Roman" w:hAnsi="Calibri" w:cs="Times New Roman"/>
          <w:sz w:val="20"/>
          <w:szCs w:val="20"/>
          <w:lang w:eastAsia="cs-CZ"/>
        </w:rPr>
        <w:t>ho vyjad</w:t>
      </w:r>
      <w:r w:rsidRPr="003927AE">
        <w:rPr>
          <w:rFonts w:ascii="Calibri" w:eastAsia="Times New Roman" w:hAnsi="Calibri" w:cs="Times New Roman" w:hint="eastAsia"/>
          <w:sz w:val="20"/>
          <w:szCs w:val="20"/>
          <w:lang w:eastAsia="cs-CZ"/>
        </w:rPr>
        <w:t>ř</w:t>
      </w:r>
      <w:r w:rsidRPr="003927AE">
        <w:rPr>
          <w:rFonts w:ascii="Calibri" w:eastAsia="Times New Roman" w:hAnsi="Calibri" w:cs="Times New Roman"/>
          <w:sz w:val="20"/>
          <w:szCs w:val="20"/>
          <w:lang w:eastAsia="cs-CZ"/>
        </w:rPr>
        <w:t>ování myšlenek, zážitk</w:t>
      </w:r>
      <w:r w:rsidRPr="003927AE">
        <w:rPr>
          <w:rFonts w:ascii="Calibri" w:eastAsia="Times New Roman" w:hAnsi="Calibri" w:cs="Times New Roman" w:hint="eastAsia"/>
          <w:sz w:val="20"/>
          <w:szCs w:val="20"/>
          <w:lang w:eastAsia="cs-CZ"/>
        </w:rPr>
        <w:t>ů</w:t>
      </w:r>
      <w:r w:rsidRPr="003927AE">
        <w:rPr>
          <w:rFonts w:ascii="Calibri" w:eastAsia="Times New Roman" w:hAnsi="Calibri" w:cs="Times New Roman"/>
          <w:sz w:val="20"/>
          <w:szCs w:val="20"/>
          <w:lang w:eastAsia="cs-CZ"/>
        </w:rPr>
        <w:t xml:space="preserve"> a emocí r</w:t>
      </w:r>
      <w:r w:rsidRPr="003927AE">
        <w:rPr>
          <w:rFonts w:ascii="Calibri" w:eastAsia="Times New Roman" w:hAnsi="Calibri" w:cs="Times New Roman" w:hint="eastAsia"/>
          <w:sz w:val="20"/>
          <w:szCs w:val="20"/>
          <w:lang w:eastAsia="cs-CZ"/>
        </w:rPr>
        <w:t>ů</w:t>
      </w:r>
      <w:r w:rsidRPr="003927AE">
        <w:rPr>
          <w:rFonts w:ascii="Calibri" w:eastAsia="Times New Roman" w:hAnsi="Calibri" w:cs="Times New Roman"/>
          <w:sz w:val="20"/>
          <w:szCs w:val="20"/>
          <w:lang w:eastAsia="cs-CZ"/>
        </w:rPr>
        <w:t>znými formami využitím hudby, divadelního um</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 xml:space="preserve">ní, literatury a vizuálního </w:t>
      </w:r>
      <w:proofErr w:type="gramStart"/>
      <w:r w:rsidRPr="003927AE">
        <w:rPr>
          <w:rFonts w:ascii="Calibri" w:eastAsia="Times New Roman" w:hAnsi="Calibri" w:cs="Times New Roman"/>
          <w:sz w:val="20"/>
          <w:szCs w:val="20"/>
          <w:lang w:eastAsia="cs-CZ"/>
        </w:rPr>
        <w:t>um</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ní)</w:t>
      </w:r>
      <w:r w:rsidRPr="003927AE">
        <w:rPr>
          <w:rFonts w:eastAsia="Times New Roman"/>
          <w:lang w:eastAsia="cs-CZ"/>
        </w:rPr>
        <w:t xml:space="preserve"> (</w:t>
      </w:r>
      <w:r>
        <w:rPr>
          <w:rFonts w:eastAsia="Times New Roman"/>
          <w:lang w:eastAsia="cs-CZ"/>
        </w:rPr>
        <w:t>77</w:t>
      </w:r>
      <w:r w:rsidRPr="003927AE">
        <w:rPr>
          <w:rFonts w:eastAsia="Times New Roman"/>
          <w:lang w:eastAsia="cs-CZ"/>
        </w:rPr>
        <w:t>,</w:t>
      </w:r>
      <w:r>
        <w:rPr>
          <w:rFonts w:eastAsia="Times New Roman"/>
          <w:lang w:eastAsia="cs-CZ"/>
        </w:rPr>
        <w:t>8</w:t>
      </w:r>
      <w:proofErr w:type="gramEnd"/>
      <w:r w:rsidRPr="003927AE">
        <w:rPr>
          <w:rFonts w:eastAsia="Times New Roman"/>
          <w:lang w:eastAsia="cs-CZ"/>
        </w:rPr>
        <w:t xml:space="preserve"> %)</w:t>
      </w:r>
    </w:p>
    <w:p w:rsidR="003927AE" w:rsidRPr="003927AE" w:rsidRDefault="003927AE" w:rsidP="003927AE">
      <w:pPr>
        <w:pStyle w:val="Nzev"/>
        <w:numPr>
          <w:ilvl w:val="0"/>
          <w:numId w:val="32"/>
        </w:numPr>
        <w:rPr>
          <w:rFonts w:eastAsia="Times New Roman"/>
          <w:lang w:eastAsia="cs-CZ"/>
        </w:rPr>
      </w:pPr>
      <w:r w:rsidRPr="003927AE">
        <w:rPr>
          <w:rFonts w:ascii="Calibri" w:eastAsia="Times New Roman" w:hAnsi="Calibri" w:cs="Times New Roman"/>
          <w:sz w:val="20"/>
          <w:szCs w:val="20"/>
          <w:lang w:eastAsia="cs-CZ"/>
        </w:rPr>
        <w:t>Škola rozvíjí schopnost d</w:t>
      </w:r>
      <w:r w:rsidRPr="003927AE">
        <w:rPr>
          <w:rFonts w:ascii="Calibri" w:eastAsia="Times New Roman" w:hAnsi="Calibri" w:cs="Times New Roman" w:hint="eastAsia"/>
          <w:sz w:val="20"/>
          <w:szCs w:val="20"/>
          <w:lang w:eastAsia="cs-CZ"/>
        </w:rPr>
        <w:t>ě</w:t>
      </w:r>
      <w:r w:rsidRPr="003927AE">
        <w:rPr>
          <w:rFonts w:ascii="Calibri" w:eastAsia="Times New Roman" w:hAnsi="Calibri" w:cs="Times New Roman"/>
          <w:sz w:val="20"/>
          <w:szCs w:val="20"/>
          <w:lang w:eastAsia="cs-CZ"/>
        </w:rPr>
        <w:t>tí u</w:t>
      </w:r>
      <w:r w:rsidRPr="003927AE">
        <w:rPr>
          <w:rFonts w:ascii="Calibri" w:eastAsia="Times New Roman" w:hAnsi="Calibri" w:cs="Times New Roman" w:hint="eastAsia"/>
          <w:sz w:val="20"/>
          <w:szCs w:val="20"/>
          <w:lang w:eastAsia="cs-CZ"/>
        </w:rPr>
        <w:t>č</w:t>
      </w:r>
      <w:r w:rsidRPr="003927AE">
        <w:rPr>
          <w:rFonts w:ascii="Calibri" w:eastAsia="Times New Roman" w:hAnsi="Calibri" w:cs="Times New Roman"/>
          <w:sz w:val="20"/>
          <w:szCs w:val="20"/>
          <w:lang w:eastAsia="cs-CZ"/>
        </w:rPr>
        <w:t>it se</w:t>
      </w:r>
      <w:r w:rsidRPr="003927AE">
        <w:rPr>
          <w:rFonts w:eastAsia="Times New Roman"/>
          <w:lang w:eastAsia="cs-CZ"/>
        </w:rPr>
        <w:t xml:space="preserve"> (</w:t>
      </w:r>
      <w:r>
        <w:rPr>
          <w:rFonts w:eastAsia="Times New Roman"/>
          <w:lang w:eastAsia="cs-CZ"/>
        </w:rPr>
        <w:t>77</w:t>
      </w:r>
      <w:r w:rsidRPr="003927AE">
        <w:rPr>
          <w:rFonts w:eastAsia="Times New Roman"/>
          <w:lang w:eastAsia="cs-CZ"/>
        </w:rPr>
        <w:t>,</w:t>
      </w:r>
      <w:r>
        <w:rPr>
          <w:rFonts w:eastAsia="Times New Roman"/>
          <w:lang w:eastAsia="cs-CZ"/>
        </w:rPr>
        <w:t>8</w:t>
      </w:r>
      <w:r w:rsidRPr="003927AE">
        <w:rPr>
          <w:rFonts w:eastAsia="Times New Roman"/>
          <w:lang w:eastAsia="cs-CZ"/>
        </w:rPr>
        <w:t xml:space="preserve"> %)</w:t>
      </w:r>
    </w:p>
    <w:p w:rsidR="00E6133C" w:rsidRPr="00E6133C" w:rsidRDefault="001A7AA2" w:rsidP="00E6133C">
      <w:pPr>
        <w:pStyle w:val="Bezmezer"/>
        <w:rPr>
          <w:highlight w:val="yellow"/>
        </w:rPr>
      </w:pPr>
      <w:r w:rsidRPr="001A7AA2">
        <w:t>Stejně jako v</w:t>
      </w:r>
      <w:r>
        <w:t xml:space="preserve"> předchozí oblasti, ani zde za čtyřmi výše jmenovanými tématy ty ostatní nezaostávají natolik, abychom mohli mluvit o </w:t>
      </w:r>
      <w:r w:rsidRPr="00CC183E">
        <w:t xml:space="preserve">jednoznačné preferenci určitého spektra problémů. Spíše je třeba vnímat potřebu rozvoje této oblasti </w:t>
      </w:r>
      <w:r w:rsidR="008C0D16" w:rsidRPr="00CC183E">
        <w:t>jako</w:t>
      </w:r>
      <w:r w:rsidRPr="00CC183E">
        <w:t> celku.</w:t>
      </w:r>
      <w:r w:rsidR="008C0D16" w:rsidRPr="00CC183E">
        <w:t xml:space="preserve"> Společným mottem by mohl být </w:t>
      </w:r>
      <w:r w:rsidR="00E6133C" w:rsidRPr="00CC183E">
        <w:rPr>
          <w:b/>
        </w:rPr>
        <w:t>osobnostní rozvoj žáka</w:t>
      </w:r>
      <w:r w:rsidR="00E6133C" w:rsidRPr="00CC183E">
        <w:t xml:space="preserve">. Tedy ty </w:t>
      </w:r>
      <w:r w:rsidR="00E6133C" w:rsidRPr="00CC183E">
        <w:rPr>
          <w:b/>
        </w:rPr>
        <w:t>nejhůře měřitelné</w:t>
      </w:r>
      <w:r w:rsidR="00E6133C" w:rsidRPr="00CC183E">
        <w:t xml:space="preserve"> </w:t>
      </w:r>
      <w:r w:rsidR="00E6133C" w:rsidRPr="00CC183E">
        <w:rPr>
          <w:b/>
        </w:rPr>
        <w:t>části</w:t>
      </w:r>
      <w:r w:rsidR="00E6133C" w:rsidRPr="00CC183E">
        <w:t xml:space="preserve"> celkové sumy, kt</w:t>
      </w:r>
      <w:r w:rsidR="00C71518" w:rsidRPr="00CC183E">
        <w:t>erou by mělo každé dítě (nejen) docházející do mateřské školy disponovat</w:t>
      </w:r>
      <w:r w:rsidR="00E6133C" w:rsidRPr="00CC183E">
        <w:t xml:space="preserve">. O velice obtížné </w:t>
      </w:r>
      <w:r w:rsidR="00E6133C" w:rsidRPr="00CC183E">
        <w:lastRenderedPageBreak/>
        <w:t xml:space="preserve">měřitelnosti lecos vypovídá i fakt, že tato oblast v rámci dotazníku nedisponovala žádnou do této doby standardní doplňkovou tabulkou, ve které by zřizovatelé škol „vypichovali“ ty nejčastější překážky v rozvoji dané oblasti. </w:t>
      </w:r>
      <w:r w:rsidR="00E6133C" w:rsidRPr="00CC183E">
        <w:rPr>
          <w:b/>
        </w:rPr>
        <w:t>Na sociální a občanské dovednosti zkrátka neexistují jednoduché tabulky, učebnice nebo pomůcky</w:t>
      </w:r>
      <w:r w:rsidR="00E6133C" w:rsidRPr="00CC183E">
        <w:t xml:space="preserve">. </w:t>
      </w:r>
    </w:p>
    <w:p w:rsidR="00E6133C" w:rsidRPr="00346B20" w:rsidRDefault="00E6133C" w:rsidP="00E6133C">
      <w:pPr>
        <w:pStyle w:val="Nadpis5"/>
      </w:pPr>
      <w:r w:rsidRPr="00346B20">
        <w:t>Tabulka: Sociální a občanské dovednosti</w:t>
      </w:r>
    </w:p>
    <w:tbl>
      <w:tblPr>
        <w:tblW w:w="9089" w:type="dxa"/>
        <w:tblInd w:w="53" w:type="dxa"/>
        <w:tblBorders>
          <w:insideH w:val="single" w:sz="8" w:space="0" w:color="000000"/>
          <w:insideV w:val="single" w:sz="8" w:space="0" w:color="000000"/>
        </w:tblBorders>
        <w:tblLayout w:type="fixed"/>
        <w:tblCellMar>
          <w:left w:w="70" w:type="dxa"/>
          <w:right w:w="70" w:type="dxa"/>
        </w:tblCellMar>
        <w:tblLook w:val="04A0"/>
      </w:tblPr>
      <w:tblGrid>
        <w:gridCol w:w="4979"/>
        <w:gridCol w:w="992"/>
        <w:gridCol w:w="992"/>
        <w:gridCol w:w="992"/>
        <w:gridCol w:w="567"/>
        <w:gridCol w:w="567"/>
      </w:tblGrid>
      <w:tr w:rsidR="00346B20" w:rsidRPr="00346B20" w:rsidTr="00346B20">
        <w:trPr>
          <w:trHeight w:val="227"/>
        </w:trPr>
        <w:tc>
          <w:tcPr>
            <w:tcW w:w="4979" w:type="dxa"/>
            <w:vMerge w:val="restart"/>
            <w:shd w:val="clear" w:color="000000" w:fill="FAC090"/>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 </w:t>
            </w:r>
          </w:p>
        </w:tc>
        <w:tc>
          <w:tcPr>
            <w:tcW w:w="1984" w:type="dxa"/>
            <w:gridSpan w:val="2"/>
            <w:shd w:val="clear" w:color="000000" w:fill="FAC090"/>
            <w:vAlign w:val="bottom"/>
            <w:hideMark/>
          </w:tcPr>
          <w:p w:rsidR="00346B20" w:rsidRPr="00346B20" w:rsidRDefault="00346B20" w:rsidP="00346B20">
            <w:pPr>
              <w:pStyle w:val="Nzev"/>
              <w:jc w:val="center"/>
              <w:rPr>
                <w:rFonts w:eastAsia="Times New Roman"/>
                <w:lang w:eastAsia="cs-CZ"/>
              </w:rPr>
            </w:pPr>
            <w:r w:rsidRPr="00346B20">
              <w:rPr>
                <w:rFonts w:eastAsia="Times New Roman"/>
                <w:lang w:eastAsia="cs-CZ"/>
              </w:rPr>
              <w:t xml:space="preserve">Podíl MŠ v rámci </w:t>
            </w:r>
            <w:r>
              <w:rPr>
                <w:rFonts w:eastAsia="Times New Roman"/>
                <w:lang w:eastAsia="cs-CZ"/>
              </w:rPr>
              <w:t xml:space="preserve">SO </w:t>
            </w:r>
            <w:r w:rsidRPr="00346B20">
              <w:rPr>
                <w:rFonts w:eastAsia="Times New Roman"/>
                <w:lang w:eastAsia="cs-CZ"/>
              </w:rPr>
              <w:t>ORP plánujících zlepšení</w:t>
            </w:r>
          </w:p>
        </w:tc>
        <w:tc>
          <w:tcPr>
            <w:tcW w:w="2126" w:type="dxa"/>
            <w:gridSpan w:val="3"/>
            <w:shd w:val="clear" w:color="000000" w:fill="FAC090"/>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Průměrné hodnocení aktuálního stavu</w:t>
            </w:r>
          </w:p>
        </w:tc>
      </w:tr>
      <w:tr w:rsidR="00346B20" w:rsidRPr="00346B20" w:rsidTr="00346B20">
        <w:trPr>
          <w:trHeight w:val="227"/>
        </w:trPr>
        <w:tc>
          <w:tcPr>
            <w:tcW w:w="4979" w:type="dxa"/>
            <w:vMerge/>
            <w:vAlign w:val="center"/>
            <w:hideMark/>
          </w:tcPr>
          <w:p w:rsidR="00346B20" w:rsidRPr="00346B20" w:rsidRDefault="00346B20" w:rsidP="00346B20">
            <w:pPr>
              <w:pStyle w:val="Nzev"/>
              <w:jc w:val="left"/>
              <w:rPr>
                <w:rFonts w:eastAsia="Times New Roman"/>
                <w:lang w:eastAsia="cs-CZ"/>
              </w:rPr>
            </w:pPr>
          </w:p>
        </w:tc>
        <w:tc>
          <w:tcPr>
            <w:tcW w:w="992" w:type="dxa"/>
            <w:shd w:val="clear" w:color="000000" w:fill="FAC090"/>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2016–18</w:t>
            </w:r>
          </w:p>
        </w:tc>
        <w:tc>
          <w:tcPr>
            <w:tcW w:w="992" w:type="dxa"/>
            <w:shd w:val="clear" w:color="000000" w:fill="FAC090"/>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2019–20</w:t>
            </w:r>
          </w:p>
        </w:tc>
        <w:tc>
          <w:tcPr>
            <w:tcW w:w="992" w:type="dxa"/>
            <w:shd w:val="clear" w:color="000000" w:fill="FAC090"/>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SO ORP</w:t>
            </w:r>
          </w:p>
        </w:tc>
        <w:tc>
          <w:tcPr>
            <w:tcW w:w="567" w:type="dxa"/>
            <w:shd w:val="clear" w:color="000000" w:fill="FAC090"/>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kraj</w:t>
            </w:r>
          </w:p>
        </w:tc>
        <w:tc>
          <w:tcPr>
            <w:tcW w:w="567" w:type="dxa"/>
            <w:shd w:val="clear" w:color="000000" w:fill="FAC090"/>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ČR</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Ve škole je pěstována kultura komunikace mezi všemi účastníky vzdělávání</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66,7%</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11,1%</w:t>
            </w:r>
          </w:p>
        </w:tc>
        <w:tc>
          <w:tcPr>
            <w:tcW w:w="992" w:type="dxa"/>
            <w:shd w:val="clear" w:color="000000" w:fill="E6B9B8"/>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3,17</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3,19</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3,18</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Ve škole je pěstováno kulturní povědomí a kulturní komunikace (tj. rozvoj tvůrčího vyjadřování myšlenek, zážitků a emocí různými formami využitím hudby, divadelního umění, literatury a vizuálního umění)</w:t>
            </w:r>
          </w:p>
        </w:tc>
        <w:tc>
          <w:tcPr>
            <w:tcW w:w="992" w:type="dxa"/>
            <w:shd w:val="clear" w:color="000000" w:fill="D7E4BC"/>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77,8%</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5,6%</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3,11</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3,06</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3,07</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Uvnitř školy se pěstuje vzájemná spolupráce učitele, rodičů a dětí</w:t>
            </w:r>
          </w:p>
        </w:tc>
        <w:tc>
          <w:tcPr>
            <w:tcW w:w="992" w:type="dxa"/>
            <w:shd w:val="clear" w:color="000000" w:fill="D7E4BC"/>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83,3%</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5,6%</w:t>
            </w:r>
          </w:p>
        </w:tc>
        <w:tc>
          <w:tcPr>
            <w:tcW w:w="992" w:type="dxa"/>
            <w:shd w:val="clear" w:color="000000" w:fill="E6B9B8"/>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2,94</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3,13</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3,14</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Škola buduje povědomí o etických hodnotách, má formálně i neformálně jednoznačně nastavená a sdílená spravedlivá pravidla společenského chování a komunikace, která se dodržují</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72,2%</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5,6%</w:t>
            </w:r>
          </w:p>
        </w:tc>
        <w:tc>
          <w:tcPr>
            <w:tcW w:w="992" w:type="dxa"/>
            <w:shd w:val="clear" w:color="000000" w:fill="E6B9B8"/>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3,06</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3,19</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3,17</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Škola u dětí rozvíjí schopnosti sebereflexe a sebehodnocení</w:t>
            </w:r>
          </w:p>
        </w:tc>
        <w:tc>
          <w:tcPr>
            <w:tcW w:w="992" w:type="dxa"/>
            <w:shd w:val="clear" w:color="000000" w:fill="D7E4BC"/>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83,3%</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5,6%</w:t>
            </w:r>
          </w:p>
        </w:tc>
        <w:tc>
          <w:tcPr>
            <w:tcW w:w="992" w:type="dxa"/>
            <w:shd w:val="clear" w:color="000000" w:fill="E6B9B8"/>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2,78</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2,92</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2,93</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Škola rozvíjí schopnost říct si o pomoc a ochotu nabídnout a poskytnout pomoc</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72,2%</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16,7%</w:t>
            </w:r>
          </w:p>
        </w:tc>
        <w:tc>
          <w:tcPr>
            <w:tcW w:w="992" w:type="dxa"/>
            <w:shd w:val="clear" w:color="000000" w:fill="E6B9B8"/>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3,06</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3,06</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3,07</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Škola rozvíjí vztah k bezpečnému používání informačních, komunikačních a dalších technologií</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72,2%</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22,2%</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2,50</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2,48</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2,49</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Škola rozvíjí schopnost dětí učit se</w:t>
            </w:r>
          </w:p>
        </w:tc>
        <w:tc>
          <w:tcPr>
            <w:tcW w:w="992" w:type="dxa"/>
            <w:shd w:val="clear" w:color="000000" w:fill="D7E4BC"/>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77,8%</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11,1%</w:t>
            </w:r>
          </w:p>
        </w:tc>
        <w:tc>
          <w:tcPr>
            <w:tcW w:w="992" w:type="dxa"/>
            <w:shd w:val="clear" w:color="000000" w:fill="E6B9B8"/>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3,06</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3,08</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3,11</w:t>
            </w:r>
          </w:p>
        </w:tc>
      </w:tr>
      <w:tr w:rsidR="00346B20" w:rsidRPr="00346B20" w:rsidTr="00346B20">
        <w:trPr>
          <w:trHeight w:val="227"/>
        </w:trPr>
        <w:tc>
          <w:tcPr>
            <w:tcW w:w="4979" w:type="dxa"/>
            <w:shd w:val="clear" w:color="auto" w:fill="auto"/>
            <w:vAlign w:val="center"/>
            <w:hideMark/>
          </w:tcPr>
          <w:p w:rsidR="00346B20" w:rsidRPr="00346B20" w:rsidRDefault="00346B20" w:rsidP="00346B20">
            <w:pPr>
              <w:pStyle w:val="Nzev"/>
              <w:jc w:val="left"/>
              <w:rPr>
                <w:rFonts w:eastAsia="Times New Roman"/>
                <w:lang w:eastAsia="cs-CZ"/>
              </w:rPr>
            </w:pPr>
            <w:r w:rsidRPr="00346B20">
              <w:rPr>
                <w:rFonts w:eastAsia="Times New Roman"/>
                <w:lang w:eastAsia="cs-CZ"/>
              </w:rPr>
              <w:t>Výuka směřuje k přípravě na výuku v základní škole, k základním společenským návykům a pravidlům chování v různých prostředích</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61,1%</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16,7%</w:t>
            </w:r>
          </w:p>
        </w:tc>
        <w:tc>
          <w:tcPr>
            <w:tcW w:w="992"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3,28</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3,23</w:t>
            </w:r>
          </w:p>
        </w:tc>
        <w:tc>
          <w:tcPr>
            <w:tcW w:w="567" w:type="dxa"/>
            <w:shd w:val="clear" w:color="000000" w:fill="FFFFFF"/>
            <w:vAlign w:val="center"/>
            <w:hideMark/>
          </w:tcPr>
          <w:p w:rsidR="00346B20" w:rsidRPr="00346B20" w:rsidRDefault="00346B20" w:rsidP="00346B20">
            <w:pPr>
              <w:pStyle w:val="Nzev"/>
              <w:jc w:val="center"/>
              <w:rPr>
                <w:rFonts w:eastAsia="Times New Roman"/>
                <w:lang w:eastAsia="cs-CZ"/>
              </w:rPr>
            </w:pPr>
            <w:r w:rsidRPr="00346B20">
              <w:rPr>
                <w:rFonts w:eastAsia="Times New Roman"/>
                <w:lang w:eastAsia="cs-CZ"/>
              </w:rPr>
              <w:t>3,25</w:t>
            </w:r>
          </w:p>
        </w:tc>
      </w:tr>
    </w:tbl>
    <w:p w:rsidR="00E6133C" w:rsidRPr="00192F42" w:rsidRDefault="00E6133C" w:rsidP="00E6133C">
      <w:pPr>
        <w:pStyle w:val="Bezmezer"/>
        <w:rPr>
          <w:lang w:eastAsia="cs-CZ"/>
        </w:rPr>
      </w:pPr>
      <w:r w:rsidRPr="00192F42">
        <w:rPr>
          <w:lang w:eastAsia="cs-CZ"/>
        </w:rPr>
        <w:t xml:space="preserve">Průměrné hodnocení aktuálního stavu </w:t>
      </w:r>
      <w:r w:rsidR="00192F42" w:rsidRPr="00192F42">
        <w:rPr>
          <w:lang w:eastAsia="cs-CZ"/>
        </w:rPr>
        <w:t xml:space="preserve">potom předešlé zdaleka nepotvrzuje. </w:t>
      </w:r>
      <w:r w:rsidRPr="00192F42">
        <w:rPr>
          <w:lang w:eastAsia="cs-CZ"/>
        </w:rPr>
        <w:t>Na všech třech úrovních pozorování dosahují čísla vysokých hodnot</w:t>
      </w:r>
      <w:r w:rsidR="00192F42" w:rsidRPr="00192F42">
        <w:rPr>
          <w:lang w:eastAsia="cs-CZ"/>
        </w:rPr>
        <w:t xml:space="preserve">. Ve spektru od jedné do čtyř oscilují kolem tří. Polehčující okolností pro </w:t>
      </w:r>
      <w:r w:rsidRPr="00192F42">
        <w:rPr>
          <w:b/>
          <w:lang w:eastAsia="cs-CZ"/>
        </w:rPr>
        <w:t xml:space="preserve">SO ORP Kutná Hora </w:t>
      </w:r>
      <w:r w:rsidRPr="00192F42">
        <w:rPr>
          <w:lang w:eastAsia="cs-CZ"/>
        </w:rPr>
        <w:t xml:space="preserve">je </w:t>
      </w:r>
      <w:r w:rsidR="00192F42" w:rsidRPr="00192F42">
        <w:rPr>
          <w:lang w:eastAsia="cs-CZ"/>
        </w:rPr>
        <w:t>fakt, že jeho</w:t>
      </w:r>
      <w:r w:rsidR="00192F42" w:rsidRPr="00192F42">
        <w:rPr>
          <w:b/>
          <w:lang w:eastAsia="cs-CZ"/>
        </w:rPr>
        <w:t xml:space="preserve"> hodnoty jsou v poměru k ostatním úrovním ty nejnižší.</w:t>
      </w:r>
      <w:r w:rsidRPr="00192F42">
        <w:rPr>
          <w:lang w:eastAsia="cs-CZ"/>
        </w:rPr>
        <w:t xml:space="preserve"> </w:t>
      </w:r>
    </w:p>
    <w:p w:rsidR="00E6133C" w:rsidRPr="00095C99" w:rsidRDefault="00E6133C" w:rsidP="00E6133C">
      <w:pPr>
        <w:pStyle w:val="Bezmezer"/>
        <w:rPr>
          <w:lang w:eastAsia="cs-CZ"/>
        </w:rPr>
      </w:pPr>
      <w:r w:rsidRPr="00095C99">
        <w:rPr>
          <w:lang w:eastAsia="cs-CZ"/>
        </w:rPr>
        <w:t>Opět tedy neplatí na první pohled logická nepřímá úměra</w:t>
      </w:r>
      <w:r w:rsidR="00FB6496" w:rsidRPr="00095C99">
        <w:rPr>
          <w:lang w:eastAsia="cs-CZ"/>
        </w:rPr>
        <w:t>,</w:t>
      </w:r>
      <w:r w:rsidRPr="00095C99">
        <w:rPr>
          <w:lang w:eastAsia="cs-CZ"/>
        </w:rPr>
        <w:t xml:space="preserve"> </w:t>
      </w:r>
      <w:r w:rsidR="00FB6496" w:rsidRPr="00095C99">
        <w:rPr>
          <w:lang w:eastAsia="cs-CZ"/>
        </w:rPr>
        <w:t xml:space="preserve">kdy </w:t>
      </w:r>
      <w:r w:rsidRPr="00095C99">
        <w:rPr>
          <w:lang w:eastAsia="cs-CZ"/>
        </w:rPr>
        <w:t>vysoká hodnota jednoho</w:t>
      </w:r>
      <w:r w:rsidR="00095C99" w:rsidRPr="00095C99">
        <w:rPr>
          <w:lang w:eastAsia="cs-CZ"/>
        </w:rPr>
        <w:t xml:space="preserve"> znamená nízkou hodnotu druhého</w:t>
      </w:r>
      <w:r w:rsidRPr="00095C99">
        <w:rPr>
          <w:lang w:eastAsia="cs-CZ"/>
        </w:rPr>
        <w:t>.</w:t>
      </w:r>
      <w:r w:rsidR="00095C99" w:rsidRPr="00095C99">
        <w:rPr>
          <w:lang w:eastAsia="cs-CZ"/>
        </w:rPr>
        <w:t xml:space="preserve"> MŠ si tedy v rámci mezí vytvořily svůj standart,</w:t>
      </w:r>
      <w:r w:rsidR="00104319">
        <w:rPr>
          <w:lang w:eastAsia="cs-CZ"/>
        </w:rPr>
        <w:t xml:space="preserve"> který hodnotí dostatečně,</w:t>
      </w:r>
      <w:r w:rsidR="00095C99" w:rsidRPr="00095C99">
        <w:rPr>
          <w:lang w:eastAsia="cs-CZ"/>
        </w:rPr>
        <w:t xml:space="preserve"> </w:t>
      </w:r>
      <w:r w:rsidRPr="00095C99">
        <w:rPr>
          <w:lang w:eastAsia="cs-CZ"/>
        </w:rPr>
        <w:t xml:space="preserve">ale zároveň </w:t>
      </w:r>
      <w:r w:rsidR="00095C99" w:rsidRPr="00095C99">
        <w:rPr>
          <w:lang w:eastAsia="cs-CZ"/>
        </w:rPr>
        <w:t xml:space="preserve">lze předpokládat, že při </w:t>
      </w:r>
      <w:r w:rsidRPr="00095C99">
        <w:rPr>
          <w:b/>
          <w:lang w:eastAsia="cs-CZ"/>
        </w:rPr>
        <w:t>větší</w:t>
      </w:r>
      <w:r w:rsidR="00095C99" w:rsidRPr="00095C99">
        <w:rPr>
          <w:b/>
          <w:lang w:eastAsia="cs-CZ"/>
        </w:rPr>
        <w:t>m objemu peněz</w:t>
      </w:r>
      <w:r w:rsidRPr="00095C99">
        <w:rPr>
          <w:b/>
          <w:lang w:eastAsia="cs-CZ"/>
        </w:rPr>
        <w:t xml:space="preserve">, </w:t>
      </w:r>
      <w:r w:rsidR="00095C99" w:rsidRPr="00095C99">
        <w:rPr>
          <w:b/>
          <w:lang w:eastAsia="cs-CZ"/>
        </w:rPr>
        <w:t>větším počtu pedagogů</w:t>
      </w:r>
      <w:r w:rsidR="00095C99" w:rsidRPr="00104319">
        <w:rPr>
          <w:lang w:eastAsia="cs-CZ"/>
        </w:rPr>
        <w:t xml:space="preserve"> (kteří mají možnost se kontinuálně dovzdělávat), </w:t>
      </w:r>
      <w:r w:rsidR="00095C99" w:rsidRPr="00095C99">
        <w:rPr>
          <w:b/>
          <w:lang w:eastAsia="cs-CZ"/>
        </w:rPr>
        <w:t>větší systémové podpoře</w:t>
      </w:r>
      <w:r w:rsidRPr="00095C99">
        <w:rPr>
          <w:b/>
          <w:lang w:eastAsia="cs-CZ"/>
        </w:rPr>
        <w:t xml:space="preserve"> i </w:t>
      </w:r>
      <w:r w:rsidR="00095C99" w:rsidRPr="00095C99">
        <w:rPr>
          <w:b/>
          <w:lang w:eastAsia="cs-CZ"/>
        </w:rPr>
        <w:t xml:space="preserve">větší osvětě </w:t>
      </w:r>
      <w:r w:rsidR="00104319">
        <w:rPr>
          <w:b/>
          <w:lang w:eastAsia="cs-CZ"/>
        </w:rPr>
        <w:t>u</w:t>
      </w:r>
      <w:r w:rsidR="00095C99" w:rsidRPr="00095C99">
        <w:rPr>
          <w:b/>
          <w:lang w:eastAsia="cs-CZ"/>
        </w:rPr>
        <w:t xml:space="preserve"> široké veřejnosti</w:t>
      </w:r>
      <w:r w:rsidR="00104319">
        <w:rPr>
          <w:b/>
          <w:lang w:eastAsia="cs-CZ"/>
        </w:rPr>
        <w:t>,</w:t>
      </w:r>
      <w:r w:rsidRPr="00095C99">
        <w:rPr>
          <w:b/>
          <w:lang w:eastAsia="cs-CZ"/>
        </w:rPr>
        <w:t xml:space="preserve"> by se dalo dělat mnohem více. </w:t>
      </w:r>
    </w:p>
    <w:p w:rsidR="00E6133C" w:rsidRPr="00E265C8" w:rsidRDefault="00E6133C" w:rsidP="00E6133C">
      <w:pPr>
        <w:pStyle w:val="Bezmezer"/>
        <w:rPr>
          <w:u w:val="single"/>
        </w:rPr>
      </w:pPr>
      <w:r w:rsidRPr="00E265C8">
        <w:rPr>
          <w:u w:val="single"/>
        </w:rPr>
        <w:t>Podpora digitálních kompetencí pedagogických pracovníků</w:t>
      </w:r>
    </w:p>
    <w:p w:rsidR="00E6133C" w:rsidRDefault="00AD44C9" w:rsidP="00711B47">
      <w:pPr>
        <w:pStyle w:val="Bezmezer"/>
      </w:pPr>
      <w:r w:rsidRPr="00AD44C9">
        <w:t>Dotazník měl pro digitální</w:t>
      </w:r>
      <w:r w:rsidR="00E6133C" w:rsidRPr="00AD44C9">
        <w:t xml:space="preserve"> kompeten</w:t>
      </w:r>
      <w:r w:rsidRPr="00AD44C9">
        <w:t>ce</w:t>
      </w:r>
      <w:r w:rsidR="00E6133C" w:rsidRPr="00AD44C9">
        <w:t xml:space="preserve"> pedagogických pracovníků </w:t>
      </w:r>
      <w:r w:rsidRPr="00AD44C9">
        <w:t xml:space="preserve">vyhrazena pouze </w:t>
      </w:r>
      <w:r w:rsidRPr="00D00749">
        <w:rPr>
          <w:b/>
        </w:rPr>
        <w:t>dvě témata</w:t>
      </w:r>
      <w:r w:rsidRPr="00AD44C9">
        <w:t xml:space="preserve">, což samozřejmě </w:t>
      </w:r>
      <w:r w:rsidR="00711B47">
        <w:t>s</w:t>
      </w:r>
      <w:r w:rsidRPr="00AD44C9">
        <w:t>ouvisí s </w:t>
      </w:r>
      <w:r w:rsidRPr="00D00749">
        <w:rPr>
          <w:b/>
        </w:rPr>
        <w:t>mírou využití počítačů v předškolní výchově</w:t>
      </w:r>
      <w:r w:rsidRPr="00AD44C9">
        <w:t>.</w:t>
      </w:r>
      <w:r w:rsidR="00711B47">
        <w:t xml:space="preserve"> Obě témata se týkají výhradně </w:t>
      </w:r>
      <w:r w:rsidR="00026C1C" w:rsidRPr="00D00749">
        <w:rPr>
          <w:b/>
        </w:rPr>
        <w:t>seberozvoje</w:t>
      </w:r>
      <w:r w:rsidR="00711B47" w:rsidRPr="00D00749">
        <w:rPr>
          <w:b/>
        </w:rPr>
        <w:t xml:space="preserve"> pedagogů</w:t>
      </w:r>
      <w:r w:rsidR="00711B47">
        <w:t xml:space="preserve">, kteří se budou schopni s pomocí výpočetní techniky a surfování na internetu kvalitně </w:t>
      </w:r>
      <w:r w:rsidR="00711B47" w:rsidRPr="00D00749">
        <w:rPr>
          <w:b/>
        </w:rPr>
        <w:t>připravit pro práci s dětmi</w:t>
      </w:r>
      <w:r w:rsidR="00711B47">
        <w:t>. Přestože je takováto příprava již dnes téměř standardem (jak napovídá průměrné hodnocení)</w:t>
      </w:r>
      <w:r w:rsidR="00026C1C">
        <w:t>, přesto školy ještě během prvního období plánují do rozvoje dané oblasti investovat v relativně velké míře, zejména pak do práce pedagogů s internetem.</w:t>
      </w:r>
      <w:r w:rsidRPr="00AD44C9">
        <w:t xml:space="preserve"> </w:t>
      </w:r>
    </w:p>
    <w:p w:rsidR="007F34AD" w:rsidRPr="00E6133C" w:rsidRDefault="007F34AD" w:rsidP="00711B47">
      <w:pPr>
        <w:pStyle w:val="Bezmezer"/>
        <w:rPr>
          <w:highlight w:val="yellow"/>
        </w:rPr>
      </w:pPr>
    </w:p>
    <w:p w:rsidR="00E6133C" w:rsidRPr="00AD44C9" w:rsidRDefault="00E6133C" w:rsidP="00E6133C">
      <w:pPr>
        <w:pStyle w:val="Nadpis5"/>
      </w:pPr>
      <w:r w:rsidRPr="00AD44C9">
        <w:lastRenderedPageBreak/>
        <w:t>Tabulka: Digitální kompetence pedagogických pracovníků</w:t>
      </w:r>
    </w:p>
    <w:tbl>
      <w:tblPr>
        <w:tblW w:w="9089" w:type="dxa"/>
        <w:tblBorders>
          <w:insideH w:val="single" w:sz="8" w:space="0" w:color="000000"/>
          <w:insideV w:val="single" w:sz="8" w:space="0" w:color="000000"/>
        </w:tblBorders>
        <w:tblLayout w:type="fixed"/>
        <w:tblCellMar>
          <w:left w:w="0" w:type="dxa"/>
          <w:right w:w="0" w:type="dxa"/>
        </w:tblCellMar>
        <w:tblLook w:val="04A0"/>
      </w:tblPr>
      <w:tblGrid>
        <w:gridCol w:w="4837"/>
        <w:gridCol w:w="1134"/>
        <w:gridCol w:w="1134"/>
        <w:gridCol w:w="850"/>
        <w:gridCol w:w="709"/>
        <w:gridCol w:w="425"/>
      </w:tblGrid>
      <w:tr w:rsidR="00AD44C9" w:rsidTr="00AD44C9">
        <w:trPr>
          <w:trHeight w:val="227"/>
        </w:trPr>
        <w:tc>
          <w:tcPr>
            <w:tcW w:w="4837" w:type="dxa"/>
            <w:vMerge w:val="restart"/>
            <w:shd w:val="clear" w:color="000000" w:fill="FAC090"/>
            <w:tcMar>
              <w:top w:w="17" w:type="dxa"/>
              <w:left w:w="17" w:type="dxa"/>
              <w:bottom w:w="0" w:type="dxa"/>
              <w:right w:w="17" w:type="dxa"/>
            </w:tcMar>
            <w:vAlign w:val="center"/>
            <w:hideMark/>
          </w:tcPr>
          <w:p w:rsidR="00AD44C9" w:rsidRDefault="00AD44C9" w:rsidP="00AD44C9">
            <w:pPr>
              <w:pStyle w:val="Nzev"/>
              <w:jc w:val="left"/>
            </w:pPr>
            <w:r>
              <w:t> </w:t>
            </w:r>
          </w:p>
        </w:tc>
        <w:tc>
          <w:tcPr>
            <w:tcW w:w="2268" w:type="dxa"/>
            <w:gridSpan w:val="2"/>
            <w:shd w:val="clear" w:color="000000" w:fill="FAC090"/>
            <w:tcMar>
              <w:top w:w="17" w:type="dxa"/>
              <w:left w:w="17" w:type="dxa"/>
              <w:bottom w:w="0" w:type="dxa"/>
              <w:right w:w="17" w:type="dxa"/>
            </w:tcMar>
            <w:vAlign w:val="bottom"/>
            <w:hideMark/>
          </w:tcPr>
          <w:p w:rsidR="00AD44C9" w:rsidRDefault="00AD44C9" w:rsidP="00AD44C9">
            <w:pPr>
              <w:pStyle w:val="Nzev"/>
              <w:jc w:val="center"/>
            </w:pPr>
            <w:r>
              <w:t>Podíl MŠ v rámci SO ORP plánujících zlepšení</w:t>
            </w:r>
          </w:p>
        </w:tc>
        <w:tc>
          <w:tcPr>
            <w:tcW w:w="1984" w:type="dxa"/>
            <w:gridSpan w:val="3"/>
            <w:shd w:val="clear" w:color="000000" w:fill="FAC090"/>
            <w:tcMar>
              <w:top w:w="17" w:type="dxa"/>
              <w:left w:w="17" w:type="dxa"/>
              <w:bottom w:w="0" w:type="dxa"/>
              <w:right w:w="17" w:type="dxa"/>
            </w:tcMar>
            <w:vAlign w:val="center"/>
            <w:hideMark/>
          </w:tcPr>
          <w:p w:rsidR="00AD44C9" w:rsidRDefault="00AD44C9" w:rsidP="00AD44C9">
            <w:pPr>
              <w:pStyle w:val="Nzev"/>
              <w:jc w:val="center"/>
            </w:pPr>
            <w:r>
              <w:t>Průměrné hodnocení aktuálního stavu</w:t>
            </w:r>
          </w:p>
        </w:tc>
      </w:tr>
      <w:tr w:rsidR="00AD44C9" w:rsidTr="00AD44C9">
        <w:trPr>
          <w:trHeight w:val="227"/>
        </w:trPr>
        <w:tc>
          <w:tcPr>
            <w:tcW w:w="4837" w:type="dxa"/>
            <w:vMerge/>
            <w:vAlign w:val="center"/>
            <w:hideMark/>
          </w:tcPr>
          <w:p w:rsidR="00AD44C9" w:rsidRDefault="00AD44C9" w:rsidP="00AD44C9">
            <w:pPr>
              <w:pStyle w:val="Nzev"/>
              <w:jc w:val="left"/>
            </w:pPr>
          </w:p>
        </w:tc>
        <w:tc>
          <w:tcPr>
            <w:tcW w:w="1134" w:type="dxa"/>
            <w:shd w:val="clear" w:color="000000" w:fill="FAC090"/>
            <w:tcMar>
              <w:top w:w="17" w:type="dxa"/>
              <w:left w:w="17" w:type="dxa"/>
              <w:bottom w:w="0" w:type="dxa"/>
              <w:right w:w="17" w:type="dxa"/>
            </w:tcMar>
            <w:vAlign w:val="center"/>
            <w:hideMark/>
          </w:tcPr>
          <w:p w:rsidR="00AD44C9" w:rsidRDefault="00AD44C9" w:rsidP="00AD44C9">
            <w:pPr>
              <w:pStyle w:val="Nzev"/>
              <w:jc w:val="center"/>
            </w:pPr>
            <w:r>
              <w:t>2016–18</w:t>
            </w:r>
          </w:p>
        </w:tc>
        <w:tc>
          <w:tcPr>
            <w:tcW w:w="1134" w:type="dxa"/>
            <w:shd w:val="clear" w:color="000000" w:fill="FAC090"/>
            <w:tcMar>
              <w:top w:w="17" w:type="dxa"/>
              <w:left w:w="17" w:type="dxa"/>
              <w:bottom w:w="0" w:type="dxa"/>
              <w:right w:w="17" w:type="dxa"/>
            </w:tcMar>
            <w:vAlign w:val="center"/>
            <w:hideMark/>
          </w:tcPr>
          <w:p w:rsidR="00AD44C9" w:rsidRDefault="00AD44C9" w:rsidP="00AD44C9">
            <w:pPr>
              <w:pStyle w:val="Nzev"/>
              <w:jc w:val="center"/>
            </w:pPr>
            <w:r>
              <w:t>2019–20</w:t>
            </w:r>
          </w:p>
        </w:tc>
        <w:tc>
          <w:tcPr>
            <w:tcW w:w="850" w:type="dxa"/>
            <w:shd w:val="clear" w:color="000000" w:fill="FAC090"/>
            <w:tcMar>
              <w:top w:w="17" w:type="dxa"/>
              <w:left w:w="17" w:type="dxa"/>
              <w:bottom w:w="0" w:type="dxa"/>
              <w:right w:w="17" w:type="dxa"/>
            </w:tcMar>
            <w:vAlign w:val="center"/>
            <w:hideMark/>
          </w:tcPr>
          <w:p w:rsidR="00AD44C9" w:rsidRDefault="00AD44C9" w:rsidP="00AD44C9">
            <w:pPr>
              <w:pStyle w:val="Nzev"/>
              <w:jc w:val="center"/>
            </w:pPr>
            <w:r>
              <w:t>SO ORP</w:t>
            </w:r>
          </w:p>
        </w:tc>
        <w:tc>
          <w:tcPr>
            <w:tcW w:w="709" w:type="dxa"/>
            <w:shd w:val="clear" w:color="000000" w:fill="FAC090"/>
            <w:tcMar>
              <w:top w:w="17" w:type="dxa"/>
              <w:left w:w="17" w:type="dxa"/>
              <w:bottom w:w="0" w:type="dxa"/>
              <w:right w:w="17" w:type="dxa"/>
            </w:tcMar>
            <w:vAlign w:val="center"/>
            <w:hideMark/>
          </w:tcPr>
          <w:p w:rsidR="00AD44C9" w:rsidRDefault="00AD44C9" w:rsidP="00AD44C9">
            <w:pPr>
              <w:pStyle w:val="Nzev"/>
              <w:jc w:val="center"/>
            </w:pPr>
            <w:r>
              <w:t>kraj</w:t>
            </w:r>
          </w:p>
        </w:tc>
        <w:tc>
          <w:tcPr>
            <w:tcW w:w="425" w:type="dxa"/>
            <w:shd w:val="clear" w:color="000000" w:fill="FAC090"/>
            <w:tcMar>
              <w:top w:w="17" w:type="dxa"/>
              <w:left w:w="17" w:type="dxa"/>
              <w:bottom w:w="0" w:type="dxa"/>
              <w:right w:w="17" w:type="dxa"/>
            </w:tcMar>
            <w:vAlign w:val="center"/>
            <w:hideMark/>
          </w:tcPr>
          <w:p w:rsidR="00AD44C9" w:rsidRDefault="00AD44C9" w:rsidP="00AD44C9">
            <w:pPr>
              <w:pStyle w:val="Nzev"/>
              <w:jc w:val="center"/>
            </w:pPr>
            <w:r>
              <w:t>ČR</w:t>
            </w:r>
          </w:p>
        </w:tc>
      </w:tr>
      <w:tr w:rsidR="00AD44C9" w:rsidTr="00AD44C9">
        <w:trPr>
          <w:trHeight w:val="227"/>
        </w:trPr>
        <w:tc>
          <w:tcPr>
            <w:tcW w:w="4837" w:type="dxa"/>
            <w:shd w:val="clear" w:color="auto" w:fill="auto"/>
            <w:tcMar>
              <w:top w:w="17" w:type="dxa"/>
              <w:left w:w="151" w:type="dxa"/>
              <w:bottom w:w="0" w:type="dxa"/>
              <w:right w:w="17" w:type="dxa"/>
            </w:tcMar>
            <w:vAlign w:val="center"/>
            <w:hideMark/>
          </w:tcPr>
          <w:p w:rsidR="00AD44C9" w:rsidRDefault="00AD44C9" w:rsidP="00AD44C9">
            <w:pPr>
              <w:pStyle w:val="Nzev"/>
              <w:ind w:left="-134"/>
              <w:jc w:val="left"/>
            </w:pPr>
            <w:r>
              <w:t>Pedagogové mají základní znalosti práce s počítačem a využívají je pro sebevzdělávání a přípravu na vzdělávání dětí (práce s operačním systémem, aplikacemi, soubory, tvorba textových dokumentů apod.)</w:t>
            </w:r>
          </w:p>
        </w:tc>
        <w:tc>
          <w:tcPr>
            <w:tcW w:w="1134" w:type="dxa"/>
            <w:shd w:val="clear" w:color="000000" w:fill="D7E4BC"/>
            <w:tcMar>
              <w:top w:w="17" w:type="dxa"/>
              <w:left w:w="17" w:type="dxa"/>
              <w:bottom w:w="0" w:type="dxa"/>
              <w:right w:w="17" w:type="dxa"/>
            </w:tcMar>
            <w:vAlign w:val="center"/>
            <w:hideMark/>
          </w:tcPr>
          <w:p w:rsidR="00AD44C9" w:rsidRDefault="00AD44C9" w:rsidP="00AD44C9">
            <w:pPr>
              <w:pStyle w:val="Nzev"/>
              <w:jc w:val="center"/>
            </w:pPr>
            <w:r>
              <w:t>66,7%</w:t>
            </w:r>
          </w:p>
        </w:tc>
        <w:tc>
          <w:tcPr>
            <w:tcW w:w="1134" w:type="dxa"/>
            <w:shd w:val="clear" w:color="000000" w:fill="FFFFFF"/>
            <w:tcMar>
              <w:top w:w="17" w:type="dxa"/>
              <w:left w:w="17" w:type="dxa"/>
              <w:bottom w:w="0" w:type="dxa"/>
              <w:right w:w="17" w:type="dxa"/>
            </w:tcMar>
            <w:vAlign w:val="center"/>
            <w:hideMark/>
          </w:tcPr>
          <w:p w:rsidR="00AD44C9" w:rsidRDefault="00AD44C9" w:rsidP="00AD44C9">
            <w:pPr>
              <w:pStyle w:val="Nzev"/>
              <w:jc w:val="center"/>
            </w:pPr>
            <w:r>
              <w:t>16,7%</w:t>
            </w:r>
          </w:p>
        </w:tc>
        <w:tc>
          <w:tcPr>
            <w:tcW w:w="850" w:type="dxa"/>
            <w:shd w:val="clear" w:color="000000" w:fill="FFFFFF"/>
            <w:tcMar>
              <w:top w:w="17" w:type="dxa"/>
              <w:left w:w="17" w:type="dxa"/>
              <w:bottom w:w="0" w:type="dxa"/>
              <w:right w:w="17" w:type="dxa"/>
            </w:tcMar>
            <w:vAlign w:val="center"/>
            <w:hideMark/>
          </w:tcPr>
          <w:p w:rsidR="00AD44C9" w:rsidRDefault="00AD44C9" w:rsidP="00AD44C9">
            <w:pPr>
              <w:pStyle w:val="Nzev"/>
              <w:jc w:val="center"/>
            </w:pPr>
            <w:r>
              <w:t>3,00</w:t>
            </w:r>
          </w:p>
        </w:tc>
        <w:tc>
          <w:tcPr>
            <w:tcW w:w="709" w:type="dxa"/>
            <w:shd w:val="clear" w:color="000000" w:fill="FFFFFF"/>
            <w:tcMar>
              <w:top w:w="17" w:type="dxa"/>
              <w:left w:w="17" w:type="dxa"/>
              <w:bottom w:w="0" w:type="dxa"/>
              <w:right w:w="17" w:type="dxa"/>
            </w:tcMar>
            <w:vAlign w:val="center"/>
            <w:hideMark/>
          </w:tcPr>
          <w:p w:rsidR="00AD44C9" w:rsidRDefault="00AD44C9" w:rsidP="00AD44C9">
            <w:pPr>
              <w:pStyle w:val="Nzev"/>
              <w:jc w:val="center"/>
            </w:pPr>
            <w:r>
              <w:t>2,82</w:t>
            </w:r>
          </w:p>
        </w:tc>
        <w:tc>
          <w:tcPr>
            <w:tcW w:w="425" w:type="dxa"/>
            <w:shd w:val="clear" w:color="000000" w:fill="FFFFFF"/>
            <w:tcMar>
              <w:top w:w="17" w:type="dxa"/>
              <w:left w:w="17" w:type="dxa"/>
              <w:bottom w:w="0" w:type="dxa"/>
              <w:right w:w="17" w:type="dxa"/>
            </w:tcMar>
            <w:vAlign w:val="center"/>
            <w:hideMark/>
          </w:tcPr>
          <w:p w:rsidR="00AD44C9" w:rsidRDefault="00AD44C9" w:rsidP="00AD44C9">
            <w:pPr>
              <w:pStyle w:val="Nzev"/>
              <w:jc w:val="center"/>
            </w:pPr>
            <w:r>
              <w:t>2,83</w:t>
            </w:r>
          </w:p>
        </w:tc>
      </w:tr>
      <w:tr w:rsidR="00AD44C9" w:rsidTr="00AD44C9">
        <w:trPr>
          <w:trHeight w:val="227"/>
        </w:trPr>
        <w:tc>
          <w:tcPr>
            <w:tcW w:w="4837" w:type="dxa"/>
            <w:shd w:val="clear" w:color="auto" w:fill="auto"/>
            <w:tcMar>
              <w:top w:w="17" w:type="dxa"/>
              <w:left w:w="151" w:type="dxa"/>
              <w:bottom w:w="0" w:type="dxa"/>
              <w:right w:w="17" w:type="dxa"/>
            </w:tcMar>
            <w:vAlign w:val="center"/>
            <w:hideMark/>
          </w:tcPr>
          <w:p w:rsidR="00AD44C9" w:rsidRDefault="00AD44C9" w:rsidP="00AD44C9">
            <w:pPr>
              <w:pStyle w:val="Nzev"/>
              <w:ind w:left="-134"/>
              <w:jc w:val="left"/>
            </w:pPr>
            <w:r>
              <w:t>Pedagogové mají základní znalosti práce s internetem a využívají je pro sebevzdělávání a přípravu na vzdělávání dětí (vyhledávání, stahování, tisk podkladů pro práci s dětmi, znalost bezpečného chování na internetu apod.)</w:t>
            </w:r>
          </w:p>
        </w:tc>
        <w:tc>
          <w:tcPr>
            <w:tcW w:w="1134" w:type="dxa"/>
            <w:shd w:val="clear" w:color="000000" w:fill="D7E4BC"/>
            <w:tcMar>
              <w:top w:w="17" w:type="dxa"/>
              <w:left w:w="17" w:type="dxa"/>
              <w:bottom w:w="0" w:type="dxa"/>
              <w:right w:w="17" w:type="dxa"/>
            </w:tcMar>
            <w:vAlign w:val="center"/>
            <w:hideMark/>
          </w:tcPr>
          <w:p w:rsidR="00AD44C9" w:rsidRDefault="00AD44C9" w:rsidP="00AD44C9">
            <w:pPr>
              <w:pStyle w:val="Nzev"/>
              <w:jc w:val="center"/>
            </w:pPr>
            <w:r>
              <w:t>83,3%</w:t>
            </w:r>
          </w:p>
        </w:tc>
        <w:tc>
          <w:tcPr>
            <w:tcW w:w="1134" w:type="dxa"/>
            <w:shd w:val="clear" w:color="000000" w:fill="FFFFFF"/>
            <w:tcMar>
              <w:top w:w="17" w:type="dxa"/>
              <w:left w:w="17" w:type="dxa"/>
              <w:bottom w:w="0" w:type="dxa"/>
              <w:right w:w="17" w:type="dxa"/>
            </w:tcMar>
            <w:vAlign w:val="center"/>
            <w:hideMark/>
          </w:tcPr>
          <w:p w:rsidR="00AD44C9" w:rsidRDefault="00AD44C9" w:rsidP="00AD44C9">
            <w:pPr>
              <w:pStyle w:val="Nzev"/>
              <w:jc w:val="center"/>
            </w:pPr>
            <w:r>
              <w:t>0,0%</w:t>
            </w:r>
          </w:p>
        </w:tc>
        <w:tc>
          <w:tcPr>
            <w:tcW w:w="850" w:type="dxa"/>
            <w:shd w:val="clear" w:color="000000" w:fill="E6B9B8"/>
            <w:tcMar>
              <w:top w:w="17" w:type="dxa"/>
              <w:left w:w="17" w:type="dxa"/>
              <w:bottom w:w="0" w:type="dxa"/>
              <w:right w:w="17" w:type="dxa"/>
            </w:tcMar>
            <w:vAlign w:val="center"/>
            <w:hideMark/>
          </w:tcPr>
          <w:p w:rsidR="00AD44C9" w:rsidRDefault="00AD44C9" w:rsidP="00AD44C9">
            <w:pPr>
              <w:pStyle w:val="Nzev"/>
              <w:jc w:val="center"/>
            </w:pPr>
            <w:r>
              <w:t>2,94</w:t>
            </w:r>
          </w:p>
        </w:tc>
        <w:tc>
          <w:tcPr>
            <w:tcW w:w="709" w:type="dxa"/>
            <w:shd w:val="clear" w:color="000000" w:fill="FFFFFF"/>
            <w:tcMar>
              <w:top w:w="17" w:type="dxa"/>
              <w:left w:w="17" w:type="dxa"/>
              <w:bottom w:w="0" w:type="dxa"/>
              <w:right w:w="17" w:type="dxa"/>
            </w:tcMar>
            <w:vAlign w:val="center"/>
            <w:hideMark/>
          </w:tcPr>
          <w:p w:rsidR="00AD44C9" w:rsidRDefault="00AD44C9" w:rsidP="00AD44C9">
            <w:pPr>
              <w:pStyle w:val="Nzev"/>
              <w:jc w:val="center"/>
            </w:pPr>
            <w:r>
              <w:t>2,97</w:t>
            </w:r>
          </w:p>
        </w:tc>
        <w:tc>
          <w:tcPr>
            <w:tcW w:w="425" w:type="dxa"/>
            <w:shd w:val="clear" w:color="000000" w:fill="FFFFFF"/>
            <w:tcMar>
              <w:top w:w="17" w:type="dxa"/>
              <w:left w:w="17" w:type="dxa"/>
              <w:bottom w:w="0" w:type="dxa"/>
              <w:right w:w="17" w:type="dxa"/>
            </w:tcMar>
            <w:vAlign w:val="center"/>
            <w:hideMark/>
          </w:tcPr>
          <w:p w:rsidR="00AD44C9" w:rsidRDefault="00AD44C9" w:rsidP="00AD44C9">
            <w:pPr>
              <w:pStyle w:val="Nzev"/>
              <w:jc w:val="center"/>
            </w:pPr>
            <w:r>
              <w:t>2,95</w:t>
            </w:r>
          </w:p>
        </w:tc>
      </w:tr>
    </w:tbl>
    <w:p w:rsidR="00E6133C" w:rsidRPr="00026C1C" w:rsidRDefault="00026C1C" w:rsidP="00E6133C">
      <w:pPr>
        <w:pStyle w:val="Bezmezer"/>
        <w:rPr>
          <w:lang w:eastAsia="cs-CZ"/>
        </w:rPr>
      </w:pPr>
      <w:r w:rsidRPr="00026C1C">
        <w:rPr>
          <w:lang w:eastAsia="cs-CZ"/>
        </w:rPr>
        <w:t xml:space="preserve">Důvodem předešlého je zejména </w:t>
      </w:r>
      <w:r w:rsidRPr="00D00749">
        <w:rPr>
          <w:b/>
          <w:lang w:eastAsia="cs-CZ"/>
        </w:rPr>
        <w:t>nedostatek financí</w:t>
      </w:r>
      <w:r w:rsidRPr="00026C1C">
        <w:rPr>
          <w:lang w:eastAsia="cs-CZ"/>
        </w:rPr>
        <w:t xml:space="preserve"> na zajištění kvalitních informačních a komunikačních technologií</w:t>
      </w:r>
      <w:r w:rsidR="00D00749">
        <w:rPr>
          <w:lang w:eastAsia="cs-CZ"/>
        </w:rPr>
        <w:t xml:space="preserve"> a </w:t>
      </w:r>
      <w:r w:rsidR="00D00749" w:rsidRPr="00D00749">
        <w:rPr>
          <w:b/>
          <w:lang w:eastAsia="cs-CZ"/>
        </w:rPr>
        <w:t>malý prostor pro další vzdělávání</w:t>
      </w:r>
      <w:r w:rsidR="00D00749">
        <w:rPr>
          <w:lang w:eastAsia="cs-CZ"/>
        </w:rPr>
        <w:t xml:space="preserve"> pedagogických pracovníků</w:t>
      </w:r>
      <w:r w:rsidR="00E6133C" w:rsidRPr="00026C1C">
        <w:rPr>
          <w:lang w:eastAsia="cs-CZ"/>
        </w:rPr>
        <w:t xml:space="preserve">: </w:t>
      </w:r>
    </w:p>
    <w:p w:rsidR="00E6133C" w:rsidRPr="00026C1C" w:rsidRDefault="00026C1C" w:rsidP="00E6133C">
      <w:pPr>
        <w:pStyle w:val="Nzev"/>
        <w:numPr>
          <w:ilvl w:val="0"/>
          <w:numId w:val="33"/>
        </w:numPr>
        <w:rPr>
          <w:rFonts w:eastAsia="Times New Roman"/>
          <w:lang w:eastAsia="cs-CZ"/>
        </w:rPr>
      </w:pPr>
      <w:r w:rsidRPr="00026C1C">
        <w:rPr>
          <w:rFonts w:eastAsia="Times New Roman"/>
          <w:lang w:eastAsia="cs-CZ"/>
        </w:rPr>
        <w:t>Nedostatek financí na po</w:t>
      </w:r>
      <w:r w:rsidRPr="00026C1C">
        <w:rPr>
          <w:rFonts w:eastAsia="Times New Roman" w:hint="eastAsia"/>
          <w:lang w:eastAsia="cs-CZ"/>
        </w:rPr>
        <w:t>ří</w:t>
      </w:r>
      <w:r w:rsidRPr="00026C1C">
        <w:rPr>
          <w:rFonts w:eastAsia="Times New Roman"/>
          <w:lang w:eastAsia="cs-CZ"/>
        </w:rPr>
        <w:t>zení moderního ICT vybavení (v</w:t>
      </w:r>
      <w:r w:rsidRPr="00026C1C">
        <w:rPr>
          <w:rFonts w:eastAsia="Times New Roman" w:hint="eastAsia"/>
          <w:lang w:eastAsia="cs-CZ"/>
        </w:rPr>
        <w:t>č</w:t>
      </w:r>
      <w:r w:rsidRPr="00026C1C">
        <w:rPr>
          <w:rFonts w:eastAsia="Times New Roman"/>
          <w:lang w:eastAsia="cs-CZ"/>
        </w:rPr>
        <w:t>etn</w:t>
      </w:r>
      <w:r w:rsidRPr="00026C1C">
        <w:rPr>
          <w:rFonts w:eastAsia="Times New Roman" w:hint="eastAsia"/>
          <w:lang w:eastAsia="cs-CZ"/>
        </w:rPr>
        <w:t>ě</w:t>
      </w:r>
      <w:r w:rsidRPr="00026C1C">
        <w:rPr>
          <w:rFonts w:eastAsia="Times New Roman"/>
          <w:lang w:eastAsia="cs-CZ"/>
        </w:rPr>
        <w:t xml:space="preserve"> údržby stávající </w:t>
      </w:r>
      <w:proofErr w:type="gramStart"/>
      <w:r w:rsidRPr="00026C1C">
        <w:rPr>
          <w:rFonts w:eastAsia="Times New Roman"/>
          <w:lang w:eastAsia="cs-CZ"/>
        </w:rPr>
        <w:t xml:space="preserve">techniky) </w:t>
      </w:r>
      <w:r w:rsidR="00E6133C" w:rsidRPr="00026C1C">
        <w:rPr>
          <w:rFonts w:eastAsia="Times New Roman"/>
          <w:lang w:eastAsia="cs-CZ"/>
        </w:rPr>
        <w:t>(</w:t>
      </w:r>
      <w:r w:rsidRPr="00026C1C">
        <w:rPr>
          <w:rFonts w:eastAsia="Times New Roman"/>
          <w:lang w:eastAsia="cs-CZ"/>
        </w:rPr>
        <w:t>61,1</w:t>
      </w:r>
      <w:proofErr w:type="gramEnd"/>
      <w:r w:rsidRPr="00026C1C">
        <w:rPr>
          <w:rFonts w:eastAsia="Times New Roman"/>
          <w:lang w:eastAsia="cs-CZ"/>
        </w:rPr>
        <w:t xml:space="preserve"> </w:t>
      </w:r>
      <w:r w:rsidR="00E6133C" w:rsidRPr="00026C1C">
        <w:rPr>
          <w:rFonts w:eastAsia="Times New Roman"/>
          <w:lang w:eastAsia="cs-CZ"/>
        </w:rPr>
        <w:t>%)</w:t>
      </w:r>
    </w:p>
    <w:p w:rsidR="00E6133C" w:rsidRPr="00026C1C" w:rsidRDefault="00026C1C" w:rsidP="00E6133C">
      <w:pPr>
        <w:pStyle w:val="Nzev"/>
        <w:numPr>
          <w:ilvl w:val="0"/>
          <w:numId w:val="33"/>
        </w:numPr>
        <w:rPr>
          <w:rFonts w:eastAsia="Times New Roman"/>
          <w:lang w:eastAsia="cs-CZ"/>
        </w:rPr>
      </w:pPr>
      <w:r w:rsidRPr="00026C1C">
        <w:rPr>
          <w:rFonts w:eastAsia="Times New Roman"/>
          <w:lang w:eastAsia="cs-CZ"/>
        </w:rPr>
        <w:t xml:space="preserve">Nevhodné / zastaralé ICT vybavení </w:t>
      </w:r>
      <w:r w:rsidR="00E6133C" w:rsidRPr="00026C1C">
        <w:rPr>
          <w:rFonts w:eastAsia="Times New Roman"/>
          <w:lang w:eastAsia="cs-CZ"/>
        </w:rPr>
        <w:t>(</w:t>
      </w:r>
      <w:r w:rsidRPr="00026C1C">
        <w:rPr>
          <w:rFonts w:eastAsia="Times New Roman"/>
          <w:lang w:eastAsia="cs-CZ"/>
        </w:rPr>
        <w:t>55,6</w:t>
      </w:r>
      <w:r w:rsidR="00E6133C" w:rsidRPr="00026C1C">
        <w:rPr>
          <w:rFonts w:eastAsia="Times New Roman"/>
          <w:lang w:eastAsia="cs-CZ"/>
        </w:rPr>
        <w:t xml:space="preserve"> %)</w:t>
      </w:r>
    </w:p>
    <w:p w:rsidR="00E6133C" w:rsidRPr="008C28DE" w:rsidRDefault="00026C1C" w:rsidP="00E6133C">
      <w:pPr>
        <w:pStyle w:val="Nzev"/>
        <w:numPr>
          <w:ilvl w:val="0"/>
          <w:numId w:val="33"/>
        </w:numPr>
        <w:rPr>
          <w:rFonts w:eastAsia="Times New Roman"/>
          <w:lang w:eastAsia="cs-CZ"/>
        </w:rPr>
      </w:pPr>
      <w:r w:rsidRPr="00026C1C">
        <w:rPr>
          <w:rFonts w:eastAsia="Times New Roman"/>
          <w:lang w:eastAsia="cs-CZ"/>
        </w:rPr>
        <w:t>Nedostatek p</w:t>
      </w:r>
      <w:r w:rsidRPr="00026C1C">
        <w:rPr>
          <w:rFonts w:eastAsia="Times New Roman" w:hint="eastAsia"/>
          <w:lang w:eastAsia="cs-CZ"/>
        </w:rPr>
        <w:t>ří</w:t>
      </w:r>
      <w:r w:rsidRPr="00026C1C">
        <w:rPr>
          <w:rFonts w:eastAsia="Times New Roman"/>
          <w:lang w:eastAsia="cs-CZ"/>
        </w:rPr>
        <w:t>ležitostí k dalšímu vzd</w:t>
      </w:r>
      <w:r w:rsidRPr="00026C1C">
        <w:rPr>
          <w:rFonts w:eastAsia="Times New Roman" w:hint="eastAsia"/>
          <w:lang w:eastAsia="cs-CZ"/>
        </w:rPr>
        <w:t>ě</w:t>
      </w:r>
      <w:r w:rsidRPr="00026C1C">
        <w:rPr>
          <w:rFonts w:eastAsia="Times New Roman"/>
          <w:lang w:eastAsia="cs-CZ"/>
        </w:rPr>
        <w:t xml:space="preserve">lávání pedagogických </w:t>
      </w:r>
      <w:r w:rsidRPr="008C28DE">
        <w:rPr>
          <w:rFonts w:eastAsia="Times New Roman"/>
          <w:lang w:eastAsia="cs-CZ"/>
        </w:rPr>
        <w:t>pracovník</w:t>
      </w:r>
      <w:r w:rsidRPr="008C28DE">
        <w:rPr>
          <w:rFonts w:eastAsia="Times New Roman" w:hint="eastAsia"/>
          <w:lang w:eastAsia="cs-CZ"/>
        </w:rPr>
        <w:t>ů</w:t>
      </w:r>
      <w:r w:rsidRPr="008C28DE">
        <w:rPr>
          <w:rFonts w:eastAsia="Times New Roman"/>
          <w:lang w:eastAsia="cs-CZ"/>
        </w:rPr>
        <w:t xml:space="preserve"> v oblasti digitálních kompetencí</w:t>
      </w:r>
      <w:r w:rsidR="00E6133C" w:rsidRPr="008C28DE">
        <w:rPr>
          <w:rFonts w:eastAsia="Times New Roman"/>
          <w:lang w:eastAsia="cs-CZ"/>
        </w:rPr>
        <w:t xml:space="preserve"> (</w:t>
      </w:r>
      <w:r w:rsidRPr="008C28DE">
        <w:rPr>
          <w:rFonts w:eastAsia="Times New Roman"/>
          <w:lang w:eastAsia="cs-CZ"/>
        </w:rPr>
        <w:t>50</w:t>
      </w:r>
      <w:r w:rsidR="00E6133C" w:rsidRPr="008C28DE">
        <w:rPr>
          <w:rFonts w:eastAsia="Times New Roman"/>
          <w:lang w:eastAsia="cs-CZ"/>
        </w:rPr>
        <w:t xml:space="preserve"> %)</w:t>
      </w:r>
    </w:p>
    <w:p w:rsidR="00E6133C" w:rsidRPr="008C28DE" w:rsidRDefault="00E6133C" w:rsidP="00E6133C">
      <w:pPr>
        <w:pStyle w:val="Bezmezer"/>
        <w:rPr>
          <w:u w:val="single"/>
        </w:rPr>
      </w:pPr>
      <w:r w:rsidRPr="008C28DE">
        <w:rPr>
          <w:u w:val="single"/>
        </w:rPr>
        <w:t xml:space="preserve">Rozvoj infrastruktury </w:t>
      </w:r>
      <w:r w:rsidR="00E265C8" w:rsidRPr="008C28DE">
        <w:rPr>
          <w:u w:val="single"/>
        </w:rPr>
        <w:t>mateřských</w:t>
      </w:r>
      <w:r w:rsidRPr="008C28DE">
        <w:rPr>
          <w:u w:val="single"/>
        </w:rPr>
        <w:t xml:space="preserve"> škol</w:t>
      </w:r>
    </w:p>
    <w:p w:rsidR="00E6133C" w:rsidRPr="008C28DE" w:rsidRDefault="008C28DE" w:rsidP="00E6133C">
      <w:pPr>
        <w:pStyle w:val="Bezmezer"/>
      </w:pPr>
      <w:r w:rsidRPr="008C28DE">
        <w:rPr>
          <w:b/>
        </w:rPr>
        <w:t>Oblast</w:t>
      </w:r>
      <w:r w:rsidRPr="008C28DE">
        <w:t xml:space="preserve"> r</w:t>
      </w:r>
      <w:r w:rsidR="00E6133C" w:rsidRPr="008C28DE">
        <w:t>ozvoj</w:t>
      </w:r>
      <w:r w:rsidRPr="008C28DE">
        <w:t>e</w:t>
      </w:r>
      <w:r w:rsidR="00E6133C" w:rsidRPr="008C28DE">
        <w:t xml:space="preserve"> infrastruktury </w:t>
      </w:r>
      <w:r w:rsidR="00FD4B81" w:rsidRPr="008C28DE">
        <w:t>mateřských</w:t>
      </w:r>
      <w:r w:rsidR="00E6133C" w:rsidRPr="008C28DE">
        <w:t xml:space="preserve"> škol je v rámci analýzy základních škol ve své formě oproti všem předchozím oblastem </w:t>
      </w:r>
      <w:r w:rsidR="00E6133C" w:rsidRPr="008C28DE">
        <w:rPr>
          <w:b/>
        </w:rPr>
        <w:t>specifick</w:t>
      </w:r>
      <w:r w:rsidR="00740ED7">
        <w:rPr>
          <w:b/>
        </w:rPr>
        <w:t>á</w:t>
      </w:r>
      <w:r w:rsidR="00E6133C" w:rsidRPr="008C28DE">
        <w:t>. Cel</w:t>
      </w:r>
      <w:r>
        <w:t>á se jako jediná</w:t>
      </w:r>
      <w:r w:rsidR="00E6133C" w:rsidRPr="008C28DE">
        <w:t xml:space="preserve"> týká nikoliv obsahu školy, tedy </w:t>
      </w:r>
      <w:r>
        <w:t>pedagogických a didaktických</w:t>
      </w:r>
      <w:r w:rsidR="00E6133C" w:rsidRPr="008C28DE">
        <w:t xml:space="preserve"> metod, kapacit</w:t>
      </w:r>
      <w:r>
        <w:t xml:space="preserve"> učitelského sboru</w:t>
      </w:r>
      <w:r w:rsidR="00740ED7">
        <w:t xml:space="preserve"> apod.</w:t>
      </w:r>
      <w:r w:rsidR="00E6133C" w:rsidRPr="008C28DE">
        <w:t xml:space="preserve">, ale striktně formy, tedy rekonstrukcí, přístaveb, vybavení </w:t>
      </w:r>
      <w:r>
        <w:t xml:space="preserve">tříd </w:t>
      </w:r>
      <w:r w:rsidR="00E6133C" w:rsidRPr="008C28DE">
        <w:t>apod.</w:t>
      </w:r>
    </w:p>
    <w:p w:rsidR="00E6133C" w:rsidRPr="00E21D15" w:rsidRDefault="00E6133C" w:rsidP="00E6133C">
      <w:pPr>
        <w:pStyle w:val="Bezmezer"/>
      </w:pPr>
      <w:r w:rsidRPr="00740ED7">
        <w:t xml:space="preserve">První tabulka je nejobecnější a zobrazuje podíl </w:t>
      </w:r>
      <w:r w:rsidR="00740ED7" w:rsidRPr="00740ED7">
        <w:t>MŠ,</w:t>
      </w:r>
      <w:r w:rsidRPr="00740ED7">
        <w:t xml:space="preserve"> které v posledních 5 letech investovaly z EU do </w:t>
      </w:r>
      <w:r w:rsidR="00740ED7" w:rsidRPr="00740ED7">
        <w:t xml:space="preserve">své </w:t>
      </w:r>
      <w:r w:rsidRPr="00740ED7">
        <w:t>infrastruktury a podíl škol, které v posledních 5 letech investovaly z EU do vnit</w:t>
      </w:r>
      <w:r w:rsidRPr="00740ED7">
        <w:rPr>
          <w:rFonts w:hint="eastAsia"/>
        </w:rPr>
        <w:t>ř</w:t>
      </w:r>
      <w:r w:rsidRPr="00740ED7">
        <w:t xml:space="preserve">ního vybavení. </w:t>
      </w:r>
      <w:r w:rsidR="00C74027">
        <w:t>J</w:t>
      </w:r>
      <w:r w:rsidRPr="00604DCD">
        <w:t>e</w:t>
      </w:r>
      <w:r w:rsidR="00C74027">
        <w:t xml:space="preserve"> z ní</w:t>
      </w:r>
      <w:r w:rsidRPr="00604DCD">
        <w:t xml:space="preserve"> patrné, že </w:t>
      </w:r>
      <w:r w:rsidRPr="00604DCD">
        <w:rPr>
          <w:b/>
        </w:rPr>
        <w:t xml:space="preserve">více </w:t>
      </w:r>
      <w:r w:rsidR="00604DCD" w:rsidRPr="00604DCD">
        <w:rPr>
          <w:b/>
        </w:rPr>
        <w:t xml:space="preserve">mateřských </w:t>
      </w:r>
      <w:r w:rsidRPr="00604DCD">
        <w:rPr>
          <w:b/>
        </w:rPr>
        <w:t>škol</w:t>
      </w:r>
      <w:r w:rsidRPr="00604DCD">
        <w:t xml:space="preserve"> (a to na všech zohledněných úrovních) </w:t>
      </w:r>
      <w:r w:rsidRPr="00604DCD">
        <w:rPr>
          <w:b/>
        </w:rPr>
        <w:t xml:space="preserve">investovalo do </w:t>
      </w:r>
      <w:r w:rsidR="00604DCD" w:rsidRPr="00604DCD">
        <w:rPr>
          <w:b/>
        </w:rPr>
        <w:t>infrastruktury</w:t>
      </w:r>
      <w:r w:rsidRPr="00604DCD">
        <w:t xml:space="preserve">. </w:t>
      </w:r>
      <w:r w:rsidR="00604DCD" w:rsidRPr="00604DCD">
        <w:t>Významným faktorem budou</w:t>
      </w:r>
      <w:r w:rsidRPr="00604DCD">
        <w:t xml:space="preserve"> patrně</w:t>
      </w:r>
      <w:r w:rsidR="00604DCD" w:rsidRPr="00604DCD">
        <w:t xml:space="preserve"> demografické charakteristiky posledních cca patnácti let, kdy došlo k nárůstu </w:t>
      </w:r>
      <w:r w:rsidR="001C0BFA">
        <w:t xml:space="preserve">počtu </w:t>
      </w:r>
      <w:r w:rsidR="00604DCD" w:rsidRPr="00604DCD">
        <w:t>narozených dětí</w:t>
      </w:r>
      <w:r w:rsidR="001C0BFA">
        <w:t xml:space="preserve"> a to v kombinaci s trendem, kdy se rodiče snaží najít místo ve školce pro své děti výrazně dříve než tomu bylo </w:t>
      </w:r>
      <w:r w:rsidR="00C74027">
        <w:t>dosud</w:t>
      </w:r>
      <w:r w:rsidR="001C0BFA">
        <w:t>.</w:t>
      </w:r>
      <w:r w:rsidRPr="00604DCD">
        <w:t xml:space="preserve"> </w:t>
      </w:r>
      <w:r w:rsidR="001C0BFA">
        <w:t>Z</w:t>
      </w:r>
      <w:r w:rsidR="00604DCD" w:rsidRPr="00604DCD">
        <w:t xml:space="preserve"> toho </w:t>
      </w:r>
      <w:r w:rsidR="001C0BFA">
        <w:t>plyne</w:t>
      </w:r>
      <w:r w:rsidR="00604DCD" w:rsidRPr="00604DCD">
        <w:t xml:space="preserve"> potřeb</w:t>
      </w:r>
      <w:r w:rsidR="001C0BFA">
        <w:t>a</w:t>
      </w:r>
      <w:r w:rsidR="00604DCD" w:rsidRPr="00604DCD">
        <w:t xml:space="preserve"> rozšiřovat </w:t>
      </w:r>
      <w:r w:rsidR="00604DCD" w:rsidRPr="00E21D15">
        <w:t>kapacity mateřských škol.</w:t>
      </w:r>
    </w:p>
    <w:p w:rsidR="00E6133C" w:rsidRPr="00E21D15" w:rsidRDefault="00E6133C" w:rsidP="00E6133C">
      <w:pPr>
        <w:pStyle w:val="Bezmezer"/>
      </w:pPr>
      <w:r w:rsidRPr="00E21D15">
        <w:rPr>
          <w:b/>
        </w:rPr>
        <w:t xml:space="preserve">V rámci tématu </w:t>
      </w:r>
      <w:r w:rsidR="00E21D15" w:rsidRPr="00E21D15">
        <w:rPr>
          <w:b/>
        </w:rPr>
        <w:t xml:space="preserve">vnitřního </w:t>
      </w:r>
      <w:r w:rsidRPr="00E21D15">
        <w:rPr>
          <w:b/>
        </w:rPr>
        <w:t xml:space="preserve">vybavení </w:t>
      </w:r>
      <w:r w:rsidRPr="00E21D15">
        <w:t xml:space="preserve">jsou potom </w:t>
      </w:r>
      <w:r w:rsidR="00E21D15" w:rsidRPr="00E21D15">
        <w:t>MŠ v</w:t>
      </w:r>
      <w:r w:rsidRPr="00E21D15">
        <w:t xml:space="preserve"> </w:t>
      </w:r>
      <w:r w:rsidRPr="00E21D15">
        <w:rPr>
          <w:b/>
        </w:rPr>
        <w:t>SO ORP Kutná Hora</w:t>
      </w:r>
      <w:r w:rsidRPr="00E21D15">
        <w:t xml:space="preserve"> vůbec </w:t>
      </w:r>
      <w:r w:rsidRPr="00E21D15">
        <w:rPr>
          <w:b/>
        </w:rPr>
        <w:t>nejslabší</w:t>
      </w:r>
      <w:r w:rsidRPr="00E21D15">
        <w:t xml:space="preserve"> ze všech tří úrovní</w:t>
      </w:r>
      <w:r w:rsidR="00E21D15" w:rsidRPr="00E21D15">
        <w:t xml:space="preserve"> a to zcela zásadním rozdílem</w:t>
      </w:r>
      <w:r w:rsidRPr="00E21D15">
        <w:t>.</w:t>
      </w:r>
      <w:r w:rsidR="00F748E8">
        <w:t xml:space="preserve"> Lze se domnívat, že potřeba budovat v regionu vůbec nějaké zázemí pro mateřské školy je tak výrazná, že vnitřní vybavení je v tuto chvíli až na „druhé koleji“.</w:t>
      </w:r>
      <w:r w:rsidRPr="00E21D15">
        <w:t xml:space="preserve"> </w:t>
      </w:r>
    </w:p>
    <w:p w:rsidR="00E6133C" w:rsidRPr="00FD4B81" w:rsidRDefault="00E6133C" w:rsidP="00E6133C">
      <w:pPr>
        <w:pStyle w:val="Nadpis5"/>
      </w:pPr>
      <w:r w:rsidRPr="00FD4B81">
        <w:t>Tabulka: Investice v letech 2010 – 2015</w:t>
      </w:r>
    </w:p>
    <w:tbl>
      <w:tblPr>
        <w:tblW w:w="9134" w:type="dxa"/>
        <w:tblBorders>
          <w:insideH w:val="single" w:sz="8" w:space="0" w:color="auto"/>
          <w:insideV w:val="single" w:sz="8" w:space="0" w:color="auto"/>
        </w:tblBorders>
        <w:tblLayout w:type="fixed"/>
        <w:tblCellMar>
          <w:left w:w="0" w:type="dxa"/>
          <w:right w:w="0" w:type="dxa"/>
        </w:tblCellMar>
        <w:tblLook w:val="04A0"/>
      </w:tblPr>
      <w:tblGrid>
        <w:gridCol w:w="6680"/>
        <w:gridCol w:w="992"/>
        <w:gridCol w:w="709"/>
        <w:gridCol w:w="753"/>
      </w:tblGrid>
      <w:tr w:rsidR="00FD4B81" w:rsidTr="00FD4B81">
        <w:trPr>
          <w:trHeight w:val="227"/>
        </w:trPr>
        <w:tc>
          <w:tcPr>
            <w:tcW w:w="6680" w:type="dxa"/>
            <w:shd w:val="clear" w:color="000000" w:fill="FAC090"/>
            <w:tcMar>
              <w:top w:w="17" w:type="dxa"/>
              <w:left w:w="17" w:type="dxa"/>
              <w:bottom w:w="0" w:type="dxa"/>
              <w:right w:w="17" w:type="dxa"/>
            </w:tcMar>
            <w:vAlign w:val="center"/>
            <w:hideMark/>
          </w:tcPr>
          <w:p w:rsidR="00FD4B81" w:rsidRDefault="00FD4B81" w:rsidP="00FD4B81">
            <w:pPr>
              <w:pStyle w:val="Nzev"/>
              <w:jc w:val="left"/>
            </w:pPr>
            <w:r>
              <w:t> </w:t>
            </w:r>
          </w:p>
        </w:tc>
        <w:tc>
          <w:tcPr>
            <w:tcW w:w="992" w:type="dxa"/>
            <w:shd w:val="clear" w:color="000000" w:fill="FAC090"/>
            <w:tcMar>
              <w:top w:w="17" w:type="dxa"/>
              <w:left w:w="17" w:type="dxa"/>
              <w:bottom w:w="0" w:type="dxa"/>
              <w:right w:w="17" w:type="dxa"/>
            </w:tcMar>
            <w:vAlign w:val="center"/>
            <w:hideMark/>
          </w:tcPr>
          <w:p w:rsidR="00FD4B81" w:rsidRDefault="00FD4B81" w:rsidP="00FD4B81">
            <w:pPr>
              <w:pStyle w:val="Nzev"/>
              <w:jc w:val="center"/>
            </w:pPr>
            <w:r>
              <w:t>SO ORP</w:t>
            </w:r>
          </w:p>
        </w:tc>
        <w:tc>
          <w:tcPr>
            <w:tcW w:w="709" w:type="dxa"/>
            <w:shd w:val="clear" w:color="000000" w:fill="FAC090"/>
            <w:tcMar>
              <w:top w:w="17" w:type="dxa"/>
              <w:left w:w="17" w:type="dxa"/>
              <w:bottom w:w="0" w:type="dxa"/>
              <w:right w:w="17" w:type="dxa"/>
            </w:tcMar>
            <w:vAlign w:val="center"/>
            <w:hideMark/>
          </w:tcPr>
          <w:p w:rsidR="00FD4B81" w:rsidRDefault="00FD4B81" w:rsidP="00FD4B81">
            <w:pPr>
              <w:pStyle w:val="Nzev"/>
              <w:jc w:val="center"/>
            </w:pPr>
            <w:r>
              <w:t>kraj</w:t>
            </w:r>
          </w:p>
        </w:tc>
        <w:tc>
          <w:tcPr>
            <w:tcW w:w="753" w:type="dxa"/>
            <w:shd w:val="clear" w:color="000000" w:fill="FAC090"/>
            <w:tcMar>
              <w:top w:w="17" w:type="dxa"/>
              <w:left w:w="17" w:type="dxa"/>
              <w:bottom w:w="0" w:type="dxa"/>
              <w:right w:w="17" w:type="dxa"/>
            </w:tcMar>
            <w:vAlign w:val="center"/>
            <w:hideMark/>
          </w:tcPr>
          <w:p w:rsidR="00FD4B81" w:rsidRDefault="00FD4B81" w:rsidP="00FD4B81">
            <w:pPr>
              <w:pStyle w:val="Nzev"/>
              <w:jc w:val="center"/>
            </w:pPr>
            <w:r>
              <w:t>ČR</w:t>
            </w:r>
          </w:p>
        </w:tc>
      </w:tr>
      <w:tr w:rsidR="00FD4B81" w:rsidTr="00FD4B81">
        <w:trPr>
          <w:trHeight w:val="227"/>
        </w:trPr>
        <w:tc>
          <w:tcPr>
            <w:tcW w:w="6680" w:type="dxa"/>
            <w:shd w:val="clear" w:color="auto" w:fill="auto"/>
            <w:tcMar>
              <w:top w:w="17" w:type="dxa"/>
              <w:left w:w="151" w:type="dxa"/>
              <w:bottom w:w="0" w:type="dxa"/>
              <w:right w:w="17" w:type="dxa"/>
            </w:tcMar>
            <w:vAlign w:val="center"/>
            <w:hideMark/>
          </w:tcPr>
          <w:p w:rsidR="00FD4B81" w:rsidRDefault="00FD4B81" w:rsidP="00FD4B81">
            <w:pPr>
              <w:pStyle w:val="Nzev"/>
              <w:ind w:left="-134"/>
              <w:jc w:val="left"/>
            </w:pPr>
            <w:r>
              <w:t>Celkový podíl škol, které v posledních 5 letech investovaly z EU do infrastruktury školy (stavba, rekonstrukce, modernizace budovy, učebny, místnosti, dvora atp.)</w:t>
            </w:r>
          </w:p>
        </w:tc>
        <w:tc>
          <w:tcPr>
            <w:tcW w:w="992" w:type="dxa"/>
            <w:shd w:val="clear" w:color="000000" w:fill="FFFFFF"/>
            <w:tcMar>
              <w:top w:w="17" w:type="dxa"/>
              <w:left w:w="17" w:type="dxa"/>
              <w:bottom w:w="0" w:type="dxa"/>
              <w:right w:w="151" w:type="dxa"/>
            </w:tcMar>
            <w:vAlign w:val="center"/>
            <w:hideMark/>
          </w:tcPr>
          <w:p w:rsidR="00FD4B81" w:rsidRDefault="00FD4B81" w:rsidP="00FD4B81">
            <w:pPr>
              <w:pStyle w:val="Nzev"/>
              <w:jc w:val="center"/>
            </w:pPr>
            <w:r>
              <w:t>38,9%</w:t>
            </w:r>
          </w:p>
        </w:tc>
        <w:tc>
          <w:tcPr>
            <w:tcW w:w="709" w:type="dxa"/>
            <w:shd w:val="clear" w:color="000000" w:fill="FFFFFF"/>
            <w:tcMar>
              <w:top w:w="17" w:type="dxa"/>
              <w:left w:w="17" w:type="dxa"/>
              <w:bottom w:w="0" w:type="dxa"/>
              <w:right w:w="151" w:type="dxa"/>
            </w:tcMar>
            <w:vAlign w:val="center"/>
            <w:hideMark/>
          </w:tcPr>
          <w:p w:rsidR="00FD4B81" w:rsidRDefault="00FD4B81" w:rsidP="00FD4B81">
            <w:pPr>
              <w:pStyle w:val="Nzev"/>
              <w:jc w:val="center"/>
            </w:pPr>
            <w:r>
              <w:t>44,6%</w:t>
            </w:r>
          </w:p>
        </w:tc>
        <w:tc>
          <w:tcPr>
            <w:tcW w:w="753" w:type="dxa"/>
            <w:shd w:val="clear" w:color="000000" w:fill="FFFFFF"/>
            <w:tcMar>
              <w:top w:w="17" w:type="dxa"/>
              <w:left w:w="17" w:type="dxa"/>
              <w:bottom w:w="0" w:type="dxa"/>
              <w:right w:w="151" w:type="dxa"/>
            </w:tcMar>
            <w:vAlign w:val="center"/>
            <w:hideMark/>
          </w:tcPr>
          <w:p w:rsidR="00FD4B81" w:rsidRDefault="00FD4B81" w:rsidP="00FD4B81">
            <w:pPr>
              <w:pStyle w:val="Nzev"/>
              <w:jc w:val="center"/>
            </w:pPr>
            <w:r>
              <w:t>39,2%</w:t>
            </w:r>
          </w:p>
        </w:tc>
      </w:tr>
      <w:tr w:rsidR="00FD4B81" w:rsidTr="00FD4B81">
        <w:trPr>
          <w:trHeight w:val="227"/>
        </w:trPr>
        <w:tc>
          <w:tcPr>
            <w:tcW w:w="6680" w:type="dxa"/>
            <w:shd w:val="clear" w:color="auto" w:fill="auto"/>
            <w:tcMar>
              <w:top w:w="17" w:type="dxa"/>
              <w:left w:w="151" w:type="dxa"/>
              <w:bottom w:w="0" w:type="dxa"/>
              <w:right w:w="17" w:type="dxa"/>
            </w:tcMar>
            <w:vAlign w:val="center"/>
            <w:hideMark/>
          </w:tcPr>
          <w:p w:rsidR="00FD4B81" w:rsidRDefault="00FD4B81" w:rsidP="00FD4B81">
            <w:pPr>
              <w:pStyle w:val="Nzev"/>
              <w:ind w:left="-134"/>
              <w:jc w:val="left"/>
            </w:pPr>
            <w:r>
              <w:t>Celkový podíl škol, které v posledních 5 letech investovaly z EU do vnitřního vybavení školy</w:t>
            </w:r>
          </w:p>
        </w:tc>
        <w:tc>
          <w:tcPr>
            <w:tcW w:w="992" w:type="dxa"/>
            <w:shd w:val="clear" w:color="000000" w:fill="FFFFFF"/>
            <w:tcMar>
              <w:top w:w="17" w:type="dxa"/>
              <w:left w:w="17" w:type="dxa"/>
              <w:bottom w:w="0" w:type="dxa"/>
              <w:right w:w="151" w:type="dxa"/>
            </w:tcMar>
            <w:vAlign w:val="center"/>
            <w:hideMark/>
          </w:tcPr>
          <w:p w:rsidR="00FD4B81" w:rsidRDefault="00FD4B81" w:rsidP="00FD4B81">
            <w:pPr>
              <w:pStyle w:val="Nzev"/>
              <w:jc w:val="center"/>
            </w:pPr>
            <w:r>
              <w:t>5,6%</w:t>
            </w:r>
          </w:p>
        </w:tc>
        <w:tc>
          <w:tcPr>
            <w:tcW w:w="709" w:type="dxa"/>
            <w:shd w:val="clear" w:color="000000" w:fill="FFFFFF"/>
            <w:tcMar>
              <w:top w:w="17" w:type="dxa"/>
              <w:left w:w="17" w:type="dxa"/>
              <w:bottom w:w="0" w:type="dxa"/>
              <w:right w:w="151" w:type="dxa"/>
            </w:tcMar>
            <w:vAlign w:val="center"/>
            <w:hideMark/>
          </w:tcPr>
          <w:p w:rsidR="00FD4B81" w:rsidRDefault="00FD4B81" w:rsidP="00FD4B81">
            <w:pPr>
              <w:pStyle w:val="Nzev"/>
              <w:jc w:val="center"/>
            </w:pPr>
            <w:r>
              <w:t>27,2%</w:t>
            </w:r>
          </w:p>
        </w:tc>
        <w:tc>
          <w:tcPr>
            <w:tcW w:w="753" w:type="dxa"/>
            <w:shd w:val="clear" w:color="000000" w:fill="FFFFFF"/>
            <w:tcMar>
              <w:top w:w="17" w:type="dxa"/>
              <w:left w:w="17" w:type="dxa"/>
              <w:bottom w:w="0" w:type="dxa"/>
              <w:right w:w="151" w:type="dxa"/>
            </w:tcMar>
            <w:vAlign w:val="center"/>
            <w:hideMark/>
          </w:tcPr>
          <w:p w:rsidR="00FD4B81" w:rsidRDefault="00FD4B81" w:rsidP="00FD4B81">
            <w:pPr>
              <w:pStyle w:val="Nzev"/>
              <w:jc w:val="center"/>
            </w:pPr>
            <w:r>
              <w:t>24,0%</w:t>
            </w:r>
          </w:p>
        </w:tc>
      </w:tr>
    </w:tbl>
    <w:p w:rsidR="00E6133C" w:rsidRDefault="00F748E8" w:rsidP="00E6133C">
      <w:pPr>
        <w:pStyle w:val="Bezmezer"/>
      </w:pPr>
      <w:r w:rsidRPr="00F748E8">
        <w:t xml:space="preserve">Situaci blíže rozepisují dvě následující tabulky. V první </w:t>
      </w:r>
      <w:r w:rsidR="00E6133C" w:rsidRPr="00F748E8">
        <w:t xml:space="preserve">jsou do </w:t>
      </w:r>
      <w:r w:rsidRPr="00F748E8">
        <w:t>deseti</w:t>
      </w:r>
      <w:r w:rsidR="00E6133C" w:rsidRPr="00F748E8">
        <w:t xml:space="preserve"> témat podrobněji rozepsány stavby a rekonstrukce, které školy v posledních pěti letech provedly s pomocí fondů EU. Další dva sloupce </w:t>
      </w:r>
      <w:r w:rsidR="00E6133C" w:rsidRPr="002E7A22">
        <w:t xml:space="preserve">zaznamenávají podíl </w:t>
      </w:r>
      <w:r w:rsidRPr="002E7A22">
        <w:t>MŠ</w:t>
      </w:r>
      <w:r w:rsidR="00E6133C" w:rsidRPr="002E7A22">
        <w:t>, které v rámci dvou již známých obdobích plánují stavět nebo rekonstruovat. A poslední sloupec zaznamenává podíl škol, jejichž plán do budoucna se týká bezbariérovosti.</w:t>
      </w:r>
    </w:p>
    <w:p w:rsidR="007F34AD" w:rsidRPr="002E7A22" w:rsidRDefault="007F34AD" w:rsidP="00E6133C">
      <w:pPr>
        <w:pStyle w:val="Bezmezer"/>
      </w:pPr>
    </w:p>
    <w:p w:rsidR="00E6133C" w:rsidRPr="002E7A22" w:rsidRDefault="00E6133C" w:rsidP="00E6133C">
      <w:pPr>
        <w:pStyle w:val="Bezmezer"/>
      </w:pPr>
      <w:r w:rsidRPr="002E7A22">
        <w:lastRenderedPageBreak/>
        <w:t xml:space="preserve">Co se </w:t>
      </w:r>
      <w:r w:rsidRPr="002E7A22">
        <w:rPr>
          <w:rFonts w:hint="eastAsia"/>
        </w:rPr>
        <w:t>proběh</w:t>
      </w:r>
      <w:r w:rsidRPr="002E7A22">
        <w:t xml:space="preserve">nuvších investic týká, tak </w:t>
      </w:r>
      <w:r w:rsidR="002E7A22" w:rsidRPr="002E7A22">
        <w:t xml:space="preserve">víceméně jedinými </w:t>
      </w:r>
      <w:r w:rsidR="00FA42C5">
        <w:t>bylo těchto pět</w:t>
      </w:r>
      <w:r w:rsidRPr="002E7A22">
        <w:t>:</w:t>
      </w:r>
    </w:p>
    <w:p w:rsidR="00E6133C" w:rsidRPr="002E7A22" w:rsidRDefault="002E7A22" w:rsidP="00E6133C">
      <w:pPr>
        <w:pStyle w:val="Nzev"/>
        <w:numPr>
          <w:ilvl w:val="0"/>
          <w:numId w:val="33"/>
        </w:numPr>
        <w:rPr>
          <w:rFonts w:eastAsia="Times New Roman"/>
          <w:lang w:eastAsia="cs-CZ"/>
        </w:rPr>
      </w:pPr>
      <w:r w:rsidRPr="002E7A22">
        <w:t>Ostatní rekonstrukce, udržovací práce a modernizace pláště budovy; zateplení budov; (projekty energeticky udržitelné školy apod.)</w:t>
      </w:r>
      <w:r w:rsidR="00E6133C" w:rsidRPr="002E7A22">
        <w:rPr>
          <w:rFonts w:eastAsia="Times New Roman"/>
          <w:lang w:eastAsia="cs-CZ"/>
        </w:rPr>
        <w:t xml:space="preserve"> (</w:t>
      </w:r>
      <w:r w:rsidRPr="002E7A22">
        <w:rPr>
          <w:rFonts w:eastAsia="Times New Roman"/>
          <w:lang w:eastAsia="cs-CZ"/>
        </w:rPr>
        <w:t>22</w:t>
      </w:r>
      <w:r w:rsidR="00E6133C" w:rsidRPr="002E7A22">
        <w:rPr>
          <w:rFonts w:eastAsia="Times New Roman"/>
          <w:lang w:eastAsia="cs-CZ"/>
        </w:rPr>
        <w:t>,</w:t>
      </w:r>
      <w:r w:rsidRPr="002E7A22">
        <w:rPr>
          <w:rFonts w:eastAsia="Times New Roman"/>
          <w:lang w:eastAsia="cs-CZ"/>
        </w:rPr>
        <w:t>2</w:t>
      </w:r>
      <w:r w:rsidR="00E6133C" w:rsidRPr="002E7A22">
        <w:rPr>
          <w:rFonts w:eastAsia="Times New Roman"/>
          <w:lang w:eastAsia="cs-CZ"/>
        </w:rPr>
        <w:t xml:space="preserve"> %)</w:t>
      </w:r>
    </w:p>
    <w:p w:rsidR="002E7A22" w:rsidRPr="002E7A22" w:rsidRDefault="002E7A22" w:rsidP="002E7A22">
      <w:pPr>
        <w:pStyle w:val="Nzev"/>
        <w:numPr>
          <w:ilvl w:val="0"/>
          <w:numId w:val="33"/>
        </w:numPr>
      </w:pPr>
      <w:r w:rsidRPr="002E7A22">
        <w:t>Nová výstavba nebo přístavba budov</w:t>
      </w:r>
      <w:r w:rsidRPr="002E7A22">
        <w:rPr>
          <w:rFonts w:eastAsia="Times New Roman"/>
          <w:lang w:eastAsia="cs-CZ"/>
        </w:rPr>
        <w:t xml:space="preserve"> (11,1 %)</w:t>
      </w:r>
    </w:p>
    <w:p w:rsidR="002E7A22" w:rsidRPr="002E7A22" w:rsidRDefault="002E7A22" w:rsidP="002E7A22">
      <w:pPr>
        <w:pStyle w:val="Nzev"/>
        <w:numPr>
          <w:ilvl w:val="0"/>
          <w:numId w:val="33"/>
        </w:numPr>
      </w:pPr>
      <w:r w:rsidRPr="000F0779">
        <w:t>Stavební úpravy a rekonstrukce tříd</w:t>
      </w:r>
      <w:r w:rsidRPr="002E7A22">
        <w:rPr>
          <w:rFonts w:eastAsia="Times New Roman"/>
          <w:lang w:eastAsia="cs-CZ"/>
        </w:rPr>
        <w:t xml:space="preserve"> (11,1 %)</w:t>
      </w:r>
    </w:p>
    <w:p w:rsidR="002E7A22" w:rsidRPr="002E7A22" w:rsidRDefault="002E7A22" w:rsidP="002E7A22">
      <w:pPr>
        <w:pStyle w:val="Nzev"/>
        <w:numPr>
          <w:ilvl w:val="0"/>
          <w:numId w:val="33"/>
        </w:numPr>
      </w:pPr>
      <w:r w:rsidRPr="000F0779">
        <w:t>Stavební úpravy a rekonstrukce herny</w:t>
      </w:r>
      <w:r w:rsidRPr="002E7A22">
        <w:rPr>
          <w:rFonts w:eastAsia="Times New Roman"/>
          <w:lang w:eastAsia="cs-CZ"/>
        </w:rPr>
        <w:t xml:space="preserve"> (11,1 %)</w:t>
      </w:r>
    </w:p>
    <w:p w:rsidR="002E7A22" w:rsidRPr="00A931AC" w:rsidRDefault="002E7A22" w:rsidP="002E7A22">
      <w:pPr>
        <w:pStyle w:val="Nzev"/>
        <w:numPr>
          <w:ilvl w:val="0"/>
          <w:numId w:val="33"/>
        </w:numPr>
      </w:pPr>
      <w:r w:rsidRPr="000F0779">
        <w:t>Stavební úpravy a vybavení na podporu podnětného venkovního prostředí školy např. hřiště, zahrady apod.</w:t>
      </w:r>
      <w:r w:rsidRPr="002E7A22">
        <w:rPr>
          <w:rFonts w:eastAsia="Times New Roman"/>
          <w:lang w:eastAsia="cs-CZ"/>
        </w:rPr>
        <w:t xml:space="preserve"> (11</w:t>
      </w:r>
      <w:r w:rsidRPr="00A931AC">
        <w:rPr>
          <w:rFonts w:eastAsia="Times New Roman"/>
          <w:lang w:eastAsia="cs-CZ"/>
        </w:rPr>
        <w:t>,1 %)</w:t>
      </w:r>
    </w:p>
    <w:p w:rsidR="00E6133C" w:rsidRPr="00E17FFB" w:rsidRDefault="00E6133C" w:rsidP="00E6133C">
      <w:pPr>
        <w:pStyle w:val="Bezmezer"/>
        <w:rPr>
          <w:lang w:eastAsia="cs-CZ"/>
        </w:rPr>
      </w:pPr>
      <w:r w:rsidRPr="00A931AC">
        <w:rPr>
          <w:b/>
          <w:lang w:eastAsia="cs-CZ"/>
        </w:rPr>
        <w:t>Prvotní investice</w:t>
      </w:r>
      <w:r w:rsidRPr="00A931AC">
        <w:rPr>
          <w:lang w:eastAsia="cs-CZ"/>
        </w:rPr>
        <w:t xml:space="preserve"> tak vedly, do </w:t>
      </w:r>
      <w:r w:rsidRPr="004B70D5">
        <w:rPr>
          <w:b/>
          <w:lang w:eastAsia="cs-CZ"/>
        </w:rPr>
        <w:t>snížení energetické náročnosti</w:t>
      </w:r>
      <w:r w:rsidRPr="004B70D5">
        <w:rPr>
          <w:lang w:eastAsia="cs-CZ"/>
        </w:rPr>
        <w:t xml:space="preserve"> budov a to na všech analyzovaných úrovních. Zohledníme-li fakt, že většina </w:t>
      </w:r>
      <w:r w:rsidR="004B70D5" w:rsidRPr="004B70D5">
        <w:rPr>
          <w:lang w:eastAsia="cs-CZ"/>
        </w:rPr>
        <w:t>vzdělávacích zařízení předškolního a prvního stupně</w:t>
      </w:r>
      <w:r w:rsidRPr="004B70D5">
        <w:rPr>
          <w:lang w:eastAsia="cs-CZ"/>
        </w:rPr>
        <w:t xml:space="preserve"> jsou stávající, padesát i více let staré budovy, jeví se snížení jejich energetické náročnosti jako logický tah. </w:t>
      </w:r>
      <w:r w:rsidR="00E17FFB">
        <w:rPr>
          <w:lang w:eastAsia="cs-CZ"/>
        </w:rPr>
        <w:t xml:space="preserve">Na to </w:t>
      </w:r>
      <w:r w:rsidR="00E17FFB" w:rsidRPr="00E17FFB">
        <w:rPr>
          <w:b/>
          <w:lang w:eastAsia="cs-CZ"/>
        </w:rPr>
        <w:t>navazuje výstavba nebo přístavba budov</w:t>
      </w:r>
      <w:r w:rsidR="00E17FFB">
        <w:rPr>
          <w:lang w:eastAsia="cs-CZ"/>
        </w:rPr>
        <w:t xml:space="preserve">, což doplňuje </w:t>
      </w:r>
      <w:r w:rsidR="00E17FFB" w:rsidRPr="00E17FFB">
        <w:rPr>
          <w:lang w:eastAsia="cs-CZ"/>
        </w:rPr>
        <w:t xml:space="preserve">předešlé a potvrzuje myšlenku </w:t>
      </w:r>
      <w:r w:rsidR="00E17FFB" w:rsidRPr="00E17FFB">
        <w:rPr>
          <w:b/>
        </w:rPr>
        <w:t>potřeby budovat v regionu zcela základní zázemí pro mateřské školy</w:t>
      </w:r>
      <w:r w:rsidR="00E17FFB" w:rsidRPr="00E17FFB">
        <w:rPr>
          <w:lang w:eastAsia="cs-CZ"/>
        </w:rPr>
        <w:t>. Zbylé investice šly do úpravy různých typů heren nebo venkovních hřišť.</w:t>
      </w:r>
    </w:p>
    <w:p w:rsidR="002E7A22" w:rsidRPr="00E17FFB" w:rsidRDefault="00E6133C" w:rsidP="00E6133C">
      <w:pPr>
        <w:pStyle w:val="Bezmezer"/>
        <w:rPr>
          <w:lang w:eastAsia="cs-CZ"/>
        </w:rPr>
      </w:pPr>
      <w:r w:rsidRPr="00E17FFB">
        <w:rPr>
          <w:lang w:eastAsia="cs-CZ"/>
        </w:rPr>
        <w:t xml:space="preserve">Doplníme-li předešlé plány na dvě následující období, vyplyne, že situace </w:t>
      </w:r>
      <w:r w:rsidRPr="00E17FFB">
        <w:rPr>
          <w:b/>
          <w:lang w:eastAsia="cs-CZ"/>
        </w:rPr>
        <w:t>se zásadně nemění ani do budoucna</w:t>
      </w:r>
      <w:r w:rsidRPr="00E17FFB">
        <w:rPr>
          <w:lang w:eastAsia="cs-CZ"/>
        </w:rPr>
        <w:t xml:space="preserve">. </w:t>
      </w:r>
      <w:r w:rsidR="00E17FFB" w:rsidRPr="00E17FFB">
        <w:rPr>
          <w:lang w:eastAsia="cs-CZ"/>
        </w:rPr>
        <w:t xml:space="preserve">Stanovené trendy můžeme protáhnout do dalších pěti let. </w:t>
      </w:r>
      <w:r w:rsidRPr="00E17FFB">
        <w:rPr>
          <w:lang w:eastAsia="cs-CZ"/>
        </w:rPr>
        <w:t xml:space="preserve">Školy v regionu </w:t>
      </w:r>
      <w:r w:rsidRPr="00E17FFB">
        <w:rPr>
          <w:b/>
          <w:lang w:eastAsia="cs-CZ"/>
        </w:rPr>
        <w:t>stále nemají dořešené zcela bazální stavební práce</w:t>
      </w:r>
      <w:r w:rsidRPr="00E17FFB">
        <w:rPr>
          <w:lang w:eastAsia="cs-CZ"/>
        </w:rPr>
        <w:t xml:space="preserve">, nadále chtějí </w:t>
      </w:r>
      <w:r w:rsidRPr="00E17FFB">
        <w:rPr>
          <w:b/>
          <w:lang w:eastAsia="cs-CZ"/>
        </w:rPr>
        <w:t>rozvíjet své venkovní zázemí</w:t>
      </w:r>
      <w:r w:rsidRPr="00E17FFB">
        <w:rPr>
          <w:lang w:eastAsia="cs-CZ"/>
        </w:rPr>
        <w:t>.</w:t>
      </w:r>
      <w:r w:rsidR="000E59B1">
        <w:rPr>
          <w:lang w:eastAsia="cs-CZ"/>
        </w:rPr>
        <w:t xml:space="preserve"> </w:t>
      </w:r>
      <w:r w:rsidR="000E59B1" w:rsidRPr="00766A0E">
        <w:rPr>
          <w:b/>
          <w:lang w:eastAsia="cs-CZ"/>
        </w:rPr>
        <w:t>Bezbariérovost</w:t>
      </w:r>
      <w:r w:rsidR="000E59B1">
        <w:rPr>
          <w:lang w:eastAsia="cs-CZ"/>
        </w:rPr>
        <w:t xml:space="preserve"> realizovaných (pří)staveb se bude do budoucna týkat </w:t>
      </w:r>
      <w:r w:rsidR="000E59B1" w:rsidRPr="00766A0E">
        <w:rPr>
          <w:b/>
          <w:lang w:eastAsia="cs-CZ"/>
        </w:rPr>
        <w:t>zhruba desetiny realizací</w:t>
      </w:r>
      <w:r w:rsidR="000E59B1">
        <w:rPr>
          <w:lang w:eastAsia="cs-CZ"/>
        </w:rPr>
        <w:t xml:space="preserve">. </w:t>
      </w:r>
    </w:p>
    <w:p w:rsidR="00E6133C" w:rsidRPr="000F0779" w:rsidRDefault="00E6133C" w:rsidP="00E6133C">
      <w:pPr>
        <w:pStyle w:val="Nadpis5"/>
      </w:pPr>
      <w:r w:rsidRPr="000F0779">
        <w:t>Tabulka: Stavby, rekonstrukce</w:t>
      </w:r>
    </w:p>
    <w:tbl>
      <w:tblPr>
        <w:tblW w:w="9089" w:type="dxa"/>
        <w:tblBorders>
          <w:insideH w:val="single" w:sz="8" w:space="0" w:color="auto"/>
          <w:insideV w:val="single" w:sz="8" w:space="0" w:color="auto"/>
        </w:tblBorders>
        <w:tblLayout w:type="fixed"/>
        <w:tblCellMar>
          <w:left w:w="0" w:type="dxa"/>
          <w:right w:w="0" w:type="dxa"/>
        </w:tblCellMar>
        <w:tblLook w:val="04A0"/>
      </w:tblPr>
      <w:tblGrid>
        <w:gridCol w:w="3561"/>
        <w:gridCol w:w="992"/>
        <w:gridCol w:w="851"/>
        <w:gridCol w:w="709"/>
        <w:gridCol w:w="850"/>
        <w:gridCol w:w="851"/>
        <w:gridCol w:w="1275"/>
      </w:tblGrid>
      <w:tr w:rsidR="000F0779" w:rsidRPr="000F0779" w:rsidTr="000F0779">
        <w:trPr>
          <w:trHeight w:val="227"/>
        </w:trPr>
        <w:tc>
          <w:tcPr>
            <w:tcW w:w="3561" w:type="dxa"/>
            <w:vMerge w:val="restart"/>
            <w:shd w:val="clear" w:color="000000" w:fill="FAC090"/>
            <w:tcMar>
              <w:top w:w="17" w:type="dxa"/>
              <w:left w:w="17" w:type="dxa"/>
              <w:bottom w:w="0" w:type="dxa"/>
              <w:right w:w="17" w:type="dxa"/>
            </w:tcMar>
            <w:vAlign w:val="center"/>
            <w:hideMark/>
          </w:tcPr>
          <w:p w:rsidR="000F0779" w:rsidRPr="000F0779" w:rsidRDefault="000F0779" w:rsidP="000F0779">
            <w:pPr>
              <w:pStyle w:val="Nzev"/>
              <w:jc w:val="left"/>
            </w:pPr>
            <w:r w:rsidRPr="000F0779">
              <w:t> </w:t>
            </w:r>
          </w:p>
        </w:tc>
        <w:tc>
          <w:tcPr>
            <w:tcW w:w="2552" w:type="dxa"/>
            <w:gridSpan w:val="3"/>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Podíl MŠ, které v posledních 5 letech investovaly z EU do příslušné stavby / rekonstrukce školy</w:t>
            </w:r>
          </w:p>
        </w:tc>
        <w:tc>
          <w:tcPr>
            <w:tcW w:w="1701" w:type="dxa"/>
            <w:gridSpan w:val="2"/>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Podíl MŠ v rámci ORP plánujících stavět / rekonstruovat</w:t>
            </w:r>
          </w:p>
        </w:tc>
        <w:tc>
          <w:tcPr>
            <w:tcW w:w="1275" w:type="dxa"/>
            <w:vMerge w:val="restart"/>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Podíl MŠ v rámci SO ORP jejichž plán se bude týkat bezbariérovosti</w:t>
            </w:r>
          </w:p>
        </w:tc>
      </w:tr>
      <w:tr w:rsidR="000F0779" w:rsidRPr="000F0779" w:rsidTr="000F0779">
        <w:trPr>
          <w:trHeight w:val="227"/>
        </w:trPr>
        <w:tc>
          <w:tcPr>
            <w:tcW w:w="3561" w:type="dxa"/>
            <w:vMerge/>
            <w:vAlign w:val="center"/>
            <w:hideMark/>
          </w:tcPr>
          <w:p w:rsidR="000F0779" w:rsidRPr="000F0779" w:rsidRDefault="000F0779" w:rsidP="000F0779">
            <w:pPr>
              <w:pStyle w:val="Nzev"/>
              <w:jc w:val="left"/>
            </w:pPr>
          </w:p>
        </w:tc>
        <w:tc>
          <w:tcPr>
            <w:tcW w:w="992" w:type="dxa"/>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SO ORP</w:t>
            </w:r>
          </w:p>
        </w:tc>
        <w:tc>
          <w:tcPr>
            <w:tcW w:w="851" w:type="dxa"/>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kraj</w:t>
            </w:r>
          </w:p>
        </w:tc>
        <w:tc>
          <w:tcPr>
            <w:tcW w:w="709" w:type="dxa"/>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ČR</w:t>
            </w:r>
          </w:p>
        </w:tc>
        <w:tc>
          <w:tcPr>
            <w:tcW w:w="850" w:type="dxa"/>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2016 –18</w:t>
            </w:r>
          </w:p>
        </w:tc>
        <w:tc>
          <w:tcPr>
            <w:tcW w:w="851" w:type="dxa"/>
            <w:shd w:val="clear" w:color="000000" w:fill="FAC090"/>
            <w:tcMar>
              <w:top w:w="17" w:type="dxa"/>
              <w:left w:w="17" w:type="dxa"/>
              <w:bottom w:w="0" w:type="dxa"/>
              <w:right w:w="17" w:type="dxa"/>
            </w:tcMar>
            <w:vAlign w:val="center"/>
            <w:hideMark/>
          </w:tcPr>
          <w:p w:rsidR="000F0779" w:rsidRPr="000F0779" w:rsidRDefault="000F0779" w:rsidP="000F0779">
            <w:pPr>
              <w:pStyle w:val="Nzev"/>
              <w:jc w:val="center"/>
            </w:pPr>
            <w:r w:rsidRPr="000F0779">
              <w:t>2019–20</w:t>
            </w:r>
          </w:p>
        </w:tc>
        <w:tc>
          <w:tcPr>
            <w:tcW w:w="1275" w:type="dxa"/>
            <w:vMerge/>
            <w:vAlign w:val="center"/>
            <w:hideMark/>
          </w:tcPr>
          <w:p w:rsidR="000F0779" w:rsidRPr="000F0779" w:rsidRDefault="000F0779" w:rsidP="000F0779">
            <w:pPr>
              <w:pStyle w:val="Nzev"/>
              <w:jc w:val="center"/>
            </w:pP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Nová výstavba nebo přístavba budov</w:t>
            </w:r>
          </w:p>
        </w:tc>
        <w:tc>
          <w:tcPr>
            <w:tcW w:w="992"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851"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15,6%</w:t>
            </w:r>
          </w:p>
        </w:tc>
        <w:tc>
          <w:tcPr>
            <w:tcW w:w="709"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6,9%</w:t>
            </w:r>
          </w:p>
        </w:tc>
        <w:tc>
          <w:tcPr>
            <w:tcW w:w="850"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16,7%</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Bezbariérové stavební úpravy a rekonstrukce</w:t>
            </w:r>
          </w:p>
        </w:tc>
        <w:tc>
          <w:tcPr>
            <w:tcW w:w="992"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5,7%</w:t>
            </w:r>
          </w:p>
        </w:tc>
        <w:tc>
          <w:tcPr>
            <w:tcW w:w="709"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3,2%</w:t>
            </w:r>
          </w:p>
        </w:tc>
        <w:tc>
          <w:tcPr>
            <w:tcW w:w="850"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Ostatní rekonstrukce, udržovací práce a modernizace pláště budovy; zateplení budov; (projekty energeticky udržitelné školy apod.)</w:t>
            </w:r>
          </w:p>
        </w:tc>
        <w:tc>
          <w:tcPr>
            <w:tcW w:w="992"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22,2%</w:t>
            </w:r>
          </w:p>
        </w:tc>
        <w:tc>
          <w:tcPr>
            <w:tcW w:w="851"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28,7%</w:t>
            </w:r>
          </w:p>
        </w:tc>
        <w:tc>
          <w:tcPr>
            <w:tcW w:w="709"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26,8%</w:t>
            </w:r>
          </w:p>
        </w:tc>
        <w:tc>
          <w:tcPr>
            <w:tcW w:w="850"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22,2%</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Stavební úpravy a rekonstrukce tříd</w:t>
            </w:r>
          </w:p>
        </w:tc>
        <w:tc>
          <w:tcPr>
            <w:tcW w:w="992"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14,2%</w:t>
            </w:r>
          </w:p>
        </w:tc>
        <w:tc>
          <w:tcPr>
            <w:tcW w:w="709"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10,3%</w:t>
            </w:r>
          </w:p>
        </w:tc>
        <w:tc>
          <w:tcPr>
            <w:tcW w:w="850"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22,2%</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Stavební úpravy a rekonstrukce knihovny</w:t>
            </w:r>
          </w:p>
        </w:tc>
        <w:tc>
          <w:tcPr>
            <w:tcW w:w="992"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0,5%</w:t>
            </w:r>
          </w:p>
        </w:tc>
        <w:tc>
          <w:tcPr>
            <w:tcW w:w="709"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0,7%</w:t>
            </w:r>
          </w:p>
        </w:tc>
        <w:tc>
          <w:tcPr>
            <w:tcW w:w="850"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Stavební úpravy a rekonstrukce herny</w:t>
            </w:r>
          </w:p>
        </w:tc>
        <w:tc>
          <w:tcPr>
            <w:tcW w:w="992"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6,9%</w:t>
            </w:r>
          </w:p>
        </w:tc>
        <w:tc>
          <w:tcPr>
            <w:tcW w:w="709"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5,7%</w:t>
            </w:r>
          </w:p>
        </w:tc>
        <w:tc>
          <w:tcPr>
            <w:tcW w:w="850"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Stavební úpravy a rekonstrukce tělocvičny</w:t>
            </w:r>
          </w:p>
        </w:tc>
        <w:tc>
          <w:tcPr>
            <w:tcW w:w="992"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1,3%</w:t>
            </w:r>
          </w:p>
        </w:tc>
        <w:tc>
          <w:tcPr>
            <w:tcW w:w="709"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1,4%</w:t>
            </w:r>
          </w:p>
        </w:tc>
        <w:tc>
          <w:tcPr>
            <w:tcW w:w="850"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Stavební úpravy a rekonstrukce prostor na podporu polytechnického vzdělávání (např. keramická dílna)</w:t>
            </w:r>
          </w:p>
        </w:tc>
        <w:tc>
          <w:tcPr>
            <w:tcW w:w="992"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3,1%</w:t>
            </w:r>
          </w:p>
        </w:tc>
        <w:tc>
          <w:tcPr>
            <w:tcW w:w="709"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1,9%</w:t>
            </w:r>
          </w:p>
        </w:tc>
        <w:tc>
          <w:tcPr>
            <w:tcW w:w="850"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r>
      <w:tr w:rsidR="000F0779" w:rsidRPr="000F0779" w:rsidTr="000F0779">
        <w:trPr>
          <w:trHeight w:val="227"/>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Stavební úpravy a rekonstrukce školní jídelny</w:t>
            </w:r>
          </w:p>
        </w:tc>
        <w:tc>
          <w:tcPr>
            <w:tcW w:w="992"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5,6%</w:t>
            </w:r>
          </w:p>
        </w:tc>
        <w:tc>
          <w:tcPr>
            <w:tcW w:w="851"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8,2%</w:t>
            </w:r>
          </w:p>
        </w:tc>
        <w:tc>
          <w:tcPr>
            <w:tcW w:w="709"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6,3%</w:t>
            </w:r>
          </w:p>
        </w:tc>
        <w:tc>
          <w:tcPr>
            <w:tcW w:w="850"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851" w:type="dxa"/>
            <w:shd w:val="clear" w:color="auto" w:fill="auto"/>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0,0%</w:t>
            </w:r>
          </w:p>
        </w:tc>
      </w:tr>
      <w:tr w:rsidR="000F0779" w:rsidRPr="000F0779" w:rsidTr="00EE751B">
        <w:trPr>
          <w:trHeight w:val="428"/>
        </w:trPr>
        <w:tc>
          <w:tcPr>
            <w:tcW w:w="3561" w:type="dxa"/>
            <w:shd w:val="clear" w:color="auto" w:fill="auto"/>
            <w:tcMar>
              <w:top w:w="17" w:type="dxa"/>
              <w:left w:w="151" w:type="dxa"/>
              <w:bottom w:w="0" w:type="dxa"/>
              <w:right w:w="17" w:type="dxa"/>
            </w:tcMar>
            <w:vAlign w:val="center"/>
            <w:hideMark/>
          </w:tcPr>
          <w:p w:rsidR="000F0779" w:rsidRPr="000F0779" w:rsidRDefault="000F0779" w:rsidP="000F0779">
            <w:pPr>
              <w:pStyle w:val="Nzev"/>
              <w:ind w:left="-134"/>
              <w:jc w:val="left"/>
            </w:pPr>
            <w:r w:rsidRPr="000F0779">
              <w:t>Stavební úpravy a vybavení na podporu podnětného venkovního prostředí školy např. hřiště, zahrady apod.</w:t>
            </w:r>
          </w:p>
        </w:tc>
        <w:tc>
          <w:tcPr>
            <w:tcW w:w="992"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c>
          <w:tcPr>
            <w:tcW w:w="851"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21,9%</w:t>
            </w:r>
          </w:p>
        </w:tc>
        <w:tc>
          <w:tcPr>
            <w:tcW w:w="709"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20,0%</w:t>
            </w:r>
          </w:p>
        </w:tc>
        <w:tc>
          <w:tcPr>
            <w:tcW w:w="850" w:type="dxa"/>
            <w:shd w:val="clear" w:color="000000" w:fill="C6EFCE"/>
            <w:noWrap/>
            <w:tcMar>
              <w:top w:w="17" w:type="dxa"/>
              <w:left w:w="17" w:type="dxa"/>
              <w:bottom w:w="0" w:type="dxa"/>
              <w:right w:w="151" w:type="dxa"/>
            </w:tcMar>
            <w:vAlign w:val="center"/>
            <w:hideMark/>
          </w:tcPr>
          <w:p w:rsidR="000F0779" w:rsidRPr="000F0779" w:rsidRDefault="000F0779" w:rsidP="000F0779">
            <w:pPr>
              <w:pStyle w:val="Nzev"/>
              <w:jc w:val="center"/>
            </w:pPr>
            <w:r w:rsidRPr="000F0779">
              <w:t>27,8%</w:t>
            </w:r>
          </w:p>
        </w:tc>
        <w:tc>
          <w:tcPr>
            <w:tcW w:w="851" w:type="dxa"/>
            <w:shd w:val="clear" w:color="000000" w:fill="C6EFCE"/>
            <w:tcMar>
              <w:top w:w="17" w:type="dxa"/>
              <w:left w:w="17" w:type="dxa"/>
              <w:bottom w:w="0" w:type="dxa"/>
              <w:right w:w="151" w:type="dxa"/>
            </w:tcMar>
            <w:vAlign w:val="center"/>
            <w:hideMark/>
          </w:tcPr>
          <w:p w:rsidR="000F0779" w:rsidRPr="000F0779" w:rsidRDefault="000F0779" w:rsidP="000F0779">
            <w:pPr>
              <w:pStyle w:val="Nzev"/>
              <w:jc w:val="center"/>
            </w:pPr>
            <w:r w:rsidRPr="000F0779">
              <w:t>44,4%</w:t>
            </w:r>
          </w:p>
        </w:tc>
        <w:tc>
          <w:tcPr>
            <w:tcW w:w="1275" w:type="dxa"/>
            <w:shd w:val="clear" w:color="auto" w:fill="auto"/>
            <w:noWrap/>
            <w:tcMar>
              <w:top w:w="17" w:type="dxa"/>
              <w:left w:w="17" w:type="dxa"/>
              <w:bottom w:w="0" w:type="dxa"/>
              <w:right w:w="151" w:type="dxa"/>
            </w:tcMar>
            <w:vAlign w:val="center"/>
            <w:hideMark/>
          </w:tcPr>
          <w:p w:rsidR="000F0779" w:rsidRPr="000F0779" w:rsidRDefault="000F0779" w:rsidP="000F0779">
            <w:pPr>
              <w:pStyle w:val="Nzev"/>
              <w:jc w:val="center"/>
            </w:pPr>
            <w:r w:rsidRPr="000F0779">
              <w:t>11,1%</w:t>
            </w:r>
          </w:p>
        </w:tc>
      </w:tr>
    </w:tbl>
    <w:p w:rsidR="00E6133C" w:rsidRPr="00FF1AB9" w:rsidRDefault="00E6133C" w:rsidP="00F63B73">
      <w:pPr>
        <w:pStyle w:val="Bezmezer"/>
        <w:rPr>
          <w:rFonts w:eastAsia="Times New Roman"/>
          <w:lang w:eastAsia="cs-CZ"/>
        </w:rPr>
      </w:pPr>
      <w:r w:rsidRPr="000E59B1">
        <w:t xml:space="preserve">Poslední tabulka se </w:t>
      </w:r>
      <w:r w:rsidR="000E59B1" w:rsidRPr="000E59B1">
        <w:t>zaobírá materiálním</w:t>
      </w:r>
      <w:r w:rsidRPr="000E59B1">
        <w:t xml:space="preserve"> </w:t>
      </w:r>
      <w:r w:rsidR="000E59B1" w:rsidRPr="000E59B1">
        <w:t>zázemím</w:t>
      </w:r>
      <w:r w:rsidRPr="000E59B1">
        <w:t xml:space="preserve"> škol. Analyzuje celkem </w:t>
      </w:r>
      <w:r w:rsidR="000E59B1" w:rsidRPr="000E59B1">
        <w:t>patnáct</w:t>
      </w:r>
      <w:r w:rsidRPr="000E59B1">
        <w:t xml:space="preserve"> </w:t>
      </w:r>
      <w:r w:rsidR="000B1D0E">
        <w:t>druhů vybavení</w:t>
      </w:r>
      <w:r w:rsidRPr="000E59B1">
        <w:t xml:space="preserve"> a její struktura je až na poslední sloupec totožná s tabulkou </w:t>
      </w:r>
      <w:r w:rsidRPr="000B1D0E">
        <w:t xml:space="preserve">předchozí. </w:t>
      </w:r>
      <w:r w:rsidR="000B1D0E" w:rsidRPr="000B1D0E">
        <w:t>Podíly</w:t>
      </w:r>
      <w:r w:rsidR="000B1D0E" w:rsidRPr="009D3D89">
        <w:t xml:space="preserve"> MŠ, které v posledních 5 letech investovaly z EU do příslušného vybavení školy</w:t>
      </w:r>
      <w:r w:rsidR="000B1D0E">
        <w:t>, jsou v tomto případě na úrovni SO ORP vzácně vyrovnané. Až na „</w:t>
      </w:r>
      <w:r w:rsidR="000B1D0E" w:rsidRPr="009D3D89">
        <w:t xml:space="preserve">Vybavení bezbariérovým nábytkem </w:t>
      </w:r>
      <w:r w:rsidR="000B1D0E" w:rsidRPr="009D3D89">
        <w:lastRenderedPageBreak/>
        <w:t>pro děti se SVP</w:t>
      </w:r>
      <w:r w:rsidR="000B1D0E">
        <w:t>“ a „</w:t>
      </w:r>
      <w:r w:rsidR="000B1D0E" w:rsidRPr="009D3D89">
        <w:t>Didaktické a kompenzační pomůcky pro děti se SVP</w:t>
      </w:r>
      <w:r w:rsidR="000B1D0E">
        <w:t>“ (0 %) se všechny rovnají (5,6 %)</w:t>
      </w:r>
      <w:r w:rsidR="00F63B73">
        <w:t xml:space="preserve">. </w:t>
      </w:r>
      <w:r w:rsidR="00FF1AB9">
        <w:t>V naprosté většině případů se jedná o nižší číslo než je tomu na úrovni kraje nebo státu.</w:t>
      </w:r>
    </w:p>
    <w:p w:rsidR="00E6133C" w:rsidRPr="00FF1AB9" w:rsidRDefault="00FF1AB9" w:rsidP="00FF1AB9">
      <w:pPr>
        <w:pStyle w:val="Bezmezer"/>
        <w:rPr>
          <w:rFonts w:eastAsia="Times New Roman"/>
          <w:lang w:eastAsia="cs-CZ"/>
        </w:rPr>
      </w:pPr>
      <w:r w:rsidRPr="00A621DE">
        <w:rPr>
          <w:b/>
        </w:rPr>
        <w:t>Do budoucna</w:t>
      </w:r>
      <w:r w:rsidRPr="00FF1AB9">
        <w:t xml:space="preserve"> chtějí zřizovatelé MŠ vybavit zejména </w:t>
      </w:r>
      <w:r w:rsidRPr="00A621DE">
        <w:rPr>
          <w:b/>
        </w:rPr>
        <w:t>didaktickými pomůckami</w:t>
      </w:r>
      <w:r w:rsidRPr="00FF1AB9">
        <w:t xml:space="preserve">, </w:t>
      </w:r>
      <w:r w:rsidRPr="00A621DE">
        <w:rPr>
          <w:b/>
        </w:rPr>
        <w:t>interaktivními tabulemi</w:t>
      </w:r>
      <w:r w:rsidRPr="00FF1AB9">
        <w:t xml:space="preserve">, </w:t>
      </w:r>
      <w:r w:rsidRPr="00A621DE">
        <w:rPr>
          <w:b/>
        </w:rPr>
        <w:t>softwarem pro ICT techniku</w:t>
      </w:r>
      <w:r w:rsidRPr="00FF1AB9">
        <w:t xml:space="preserve">, </w:t>
      </w:r>
      <w:r w:rsidR="00D42843" w:rsidRPr="00D42843">
        <w:rPr>
          <w:b/>
        </w:rPr>
        <w:t>vybavením na podporu podn</w:t>
      </w:r>
      <w:r w:rsidR="00D42843" w:rsidRPr="00D42843">
        <w:rPr>
          <w:rFonts w:hint="eastAsia"/>
          <w:b/>
        </w:rPr>
        <w:t>ě</w:t>
      </w:r>
      <w:r w:rsidR="00D42843" w:rsidRPr="00D42843">
        <w:rPr>
          <w:b/>
        </w:rPr>
        <w:t>tného vnit</w:t>
      </w:r>
      <w:r w:rsidR="00D42843" w:rsidRPr="00D42843">
        <w:rPr>
          <w:rFonts w:hint="eastAsia"/>
          <w:b/>
        </w:rPr>
        <w:t>ř</w:t>
      </w:r>
      <w:r w:rsidR="00D42843" w:rsidRPr="00D42843">
        <w:rPr>
          <w:b/>
        </w:rPr>
        <w:t>ního prost</w:t>
      </w:r>
      <w:r w:rsidR="00D42843" w:rsidRPr="00D42843">
        <w:rPr>
          <w:rFonts w:hint="eastAsia"/>
          <w:b/>
        </w:rPr>
        <w:t>ř</w:t>
      </w:r>
      <w:r w:rsidR="00D42843" w:rsidRPr="00D42843">
        <w:rPr>
          <w:b/>
        </w:rPr>
        <w:t>edí školy</w:t>
      </w:r>
      <w:r w:rsidR="00D42843">
        <w:t>,</w:t>
      </w:r>
      <w:r w:rsidR="00D42843" w:rsidRPr="00D42843">
        <w:t xml:space="preserve"> </w:t>
      </w:r>
      <w:r w:rsidRPr="00FF1AB9">
        <w:t xml:space="preserve">ale znatelný nárůst zájmu zaznamenávají i </w:t>
      </w:r>
      <w:r w:rsidR="00A621DE" w:rsidRPr="00A621DE">
        <w:rPr>
          <w:b/>
        </w:rPr>
        <w:t>d</w:t>
      </w:r>
      <w:r w:rsidRPr="00A621DE">
        <w:rPr>
          <w:b/>
        </w:rPr>
        <w:t>idaktické a kompenza</w:t>
      </w:r>
      <w:r w:rsidRPr="00A621DE">
        <w:rPr>
          <w:rFonts w:hint="eastAsia"/>
          <w:b/>
        </w:rPr>
        <w:t>č</w:t>
      </w:r>
      <w:r w:rsidRPr="00A621DE">
        <w:rPr>
          <w:b/>
        </w:rPr>
        <w:t>ní pom</w:t>
      </w:r>
      <w:r w:rsidRPr="00A621DE">
        <w:rPr>
          <w:rFonts w:hint="eastAsia"/>
          <w:b/>
        </w:rPr>
        <w:t>ů</w:t>
      </w:r>
      <w:r w:rsidRPr="00A621DE">
        <w:rPr>
          <w:b/>
        </w:rPr>
        <w:t>cky pro d</w:t>
      </w:r>
      <w:r w:rsidRPr="00A621DE">
        <w:rPr>
          <w:rFonts w:hint="eastAsia"/>
          <w:b/>
        </w:rPr>
        <w:t>ě</w:t>
      </w:r>
      <w:r w:rsidRPr="00A621DE">
        <w:rPr>
          <w:b/>
        </w:rPr>
        <w:t>ti se SVP</w:t>
      </w:r>
      <w:r w:rsidRPr="00FF1AB9">
        <w:t xml:space="preserve">.  </w:t>
      </w:r>
    </w:p>
    <w:p w:rsidR="00E6133C" w:rsidRPr="009D3D89" w:rsidRDefault="00E6133C" w:rsidP="00E6133C">
      <w:pPr>
        <w:pStyle w:val="Nadpis5"/>
      </w:pPr>
      <w:r w:rsidRPr="009D3D89">
        <w:t>Tabulka: Vybavení</w:t>
      </w:r>
    </w:p>
    <w:tbl>
      <w:tblPr>
        <w:tblW w:w="9089" w:type="dxa"/>
        <w:tblBorders>
          <w:insideH w:val="single" w:sz="4" w:space="0" w:color="auto"/>
          <w:insideV w:val="single" w:sz="4" w:space="0" w:color="auto"/>
        </w:tblBorders>
        <w:tblCellMar>
          <w:left w:w="0" w:type="dxa"/>
          <w:right w:w="0" w:type="dxa"/>
        </w:tblCellMar>
        <w:tblLook w:val="04A0"/>
      </w:tblPr>
      <w:tblGrid>
        <w:gridCol w:w="4412"/>
        <w:gridCol w:w="992"/>
        <w:gridCol w:w="709"/>
        <w:gridCol w:w="1020"/>
        <w:gridCol w:w="964"/>
        <w:gridCol w:w="992"/>
      </w:tblGrid>
      <w:tr w:rsidR="009D3D89" w:rsidRPr="009D3D89" w:rsidTr="009D3D89">
        <w:trPr>
          <w:trHeight w:val="227"/>
        </w:trPr>
        <w:tc>
          <w:tcPr>
            <w:tcW w:w="4412" w:type="dxa"/>
            <w:vMerge w:val="restart"/>
            <w:shd w:val="clear" w:color="000000" w:fill="FAC090"/>
            <w:tcMar>
              <w:top w:w="17" w:type="dxa"/>
              <w:left w:w="17" w:type="dxa"/>
              <w:bottom w:w="0" w:type="dxa"/>
              <w:right w:w="17" w:type="dxa"/>
            </w:tcMar>
            <w:vAlign w:val="center"/>
            <w:hideMark/>
          </w:tcPr>
          <w:p w:rsidR="009D3D89" w:rsidRPr="009D3D89" w:rsidRDefault="009D3D89" w:rsidP="009D3D89">
            <w:pPr>
              <w:pStyle w:val="Nzev"/>
              <w:ind w:left="-284"/>
              <w:jc w:val="left"/>
            </w:pPr>
            <w:r w:rsidRPr="009D3D89">
              <w:t> </w:t>
            </w:r>
          </w:p>
        </w:tc>
        <w:tc>
          <w:tcPr>
            <w:tcW w:w="2721" w:type="dxa"/>
            <w:gridSpan w:val="3"/>
            <w:shd w:val="clear" w:color="000000" w:fill="FAC090"/>
            <w:tcMar>
              <w:top w:w="17" w:type="dxa"/>
              <w:left w:w="17" w:type="dxa"/>
              <w:bottom w:w="0" w:type="dxa"/>
              <w:right w:w="17" w:type="dxa"/>
            </w:tcMar>
            <w:vAlign w:val="center"/>
            <w:hideMark/>
          </w:tcPr>
          <w:p w:rsidR="009D3D89" w:rsidRPr="009D3D89" w:rsidRDefault="009D3D89" w:rsidP="009D3D89">
            <w:pPr>
              <w:pStyle w:val="Nzev"/>
              <w:jc w:val="center"/>
            </w:pPr>
            <w:r w:rsidRPr="009D3D89">
              <w:t>Podíl MŠ, které v posledních 5 letech investovaly z EU do příslušného vybavení školy</w:t>
            </w:r>
          </w:p>
        </w:tc>
        <w:tc>
          <w:tcPr>
            <w:tcW w:w="1956" w:type="dxa"/>
            <w:gridSpan w:val="2"/>
            <w:shd w:val="clear" w:color="000000" w:fill="FAC090"/>
            <w:tcMar>
              <w:top w:w="17" w:type="dxa"/>
              <w:left w:w="17" w:type="dxa"/>
              <w:bottom w:w="0" w:type="dxa"/>
              <w:right w:w="17" w:type="dxa"/>
            </w:tcMar>
            <w:vAlign w:val="center"/>
            <w:hideMark/>
          </w:tcPr>
          <w:p w:rsidR="009D3D89" w:rsidRPr="009D3D89" w:rsidRDefault="009D3D89" w:rsidP="009D3D89">
            <w:pPr>
              <w:pStyle w:val="Nzev"/>
              <w:jc w:val="center"/>
            </w:pPr>
            <w:r w:rsidRPr="009D3D89">
              <w:t>Podíl MŠ v rámci SO ORP plánujících pořízení vybavení</w:t>
            </w:r>
          </w:p>
        </w:tc>
      </w:tr>
      <w:tr w:rsidR="009D3D89" w:rsidRPr="009D3D89" w:rsidTr="009D3D89">
        <w:trPr>
          <w:trHeight w:val="227"/>
        </w:trPr>
        <w:tc>
          <w:tcPr>
            <w:tcW w:w="4412" w:type="dxa"/>
            <w:vMerge/>
            <w:vAlign w:val="center"/>
            <w:hideMark/>
          </w:tcPr>
          <w:p w:rsidR="009D3D89" w:rsidRPr="009D3D89" w:rsidRDefault="009D3D89" w:rsidP="009D3D89">
            <w:pPr>
              <w:pStyle w:val="Nzev"/>
              <w:ind w:left="-284"/>
              <w:jc w:val="left"/>
            </w:pPr>
          </w:p>
        </w:tc>
        <w:tc>
          <w:tcPr>
            <w:tcW w:w="992" w:type="dxa"/>
            <w:shd w:val="clear" w:color="000000" w:fill="FAC090"/>
            <w:tcMar>
              <w:top w:w="17" w:type="dxa"/>
              <w:left w:w="17" w:type="dxa"/>
              <w:bottom w:w="0" w:type="dxa"/>
              <w:right w:w="17" w:type="dxa"/>
            </w:tcMar>
            <w:vAlign w:val="center"/>
            <w:hideMark/>
          </w:tcPr>
          <w:p w:rsidR="009D3D89" w:rsidRPr="009D3D89" w:rsidRDefault="009D3D89" w:rsidP="009D3D89">
            <w:pPr>
              <w:pStyle w:val="Nzev"/>
              <w:jc w:val="center"/>
            </w:pPr>
            <w:r w:rsidRPr="009D3D89">
              <w:t>SO ORP</w:t>
            </w:r>
          </w:p>
        </w:tc>
        <w:tc>
          <w:tcPr>
            <w:tcW w:w="709" w:type="dxa"/>
            <w:shd w:val="clear" w:color="000000" w:fill="FAC090"/>
            <w:tcMar>
              <w:top w:w="17" w:type="dxa"/>
              <w:left w:w="17" w:type="dxa"/>
              <w:bottom w:w="0" w:type="dxa"/>
              <w:right w:w="17" w:type="dxa"/>
            </w:tcMar>
            <w:vAlign w:val="center"/>
            <w:hideMark/>
          </w:tcPr>
          <w:p w:rsidR="009D3D89" w:rsidRPr="009D3D89" w:rsidRDefault="009D3D89" w:rsidP="009D3D89">
            <w:pPr>
              <w:pStyle w:val="Nzev"/>
              <w:jc w:val="center"/>
            </w:pPr>
            <w:r w:rsidRPr="009D3D89">
              <w:t>kraj</w:t>
            </w:r>
          </w:p>
        </w:tc>
        <w:tc>
          <w:tcPr>
            <w:tcW w:w="1020" w:type="dxa"/>
            <w:shd w:val="clear" w:color="000000" w:fill="FAC090"/>
            <w:tcMar>
              <w:top w:w="17" w:type="dxa"/>
              <w:left w:w="17" w:type="dxa"/>
              <w:bottom w:w="0" w:type="dxa"/>
              <w:right w:w="17" w:type="dxa"/>
            </w:tcMar>
            <w:vAlign w:val="center"/>
            <w:hideMark/>
          </w:tcPr>
          <w:p w:rsidR="009D3D89" w:rsidRPr="009D3D89" w:rsidRDefault="009D3D89" w:rsidP="009D3D89">
            <w:pPr>
              <w:pStyle w:val="Nzev"/>
              <w:jc w:val="center"/>
            </w:pPr>
            <w:r w:rsidRPr="009D3D89">
              <w:t>ČR</w:t>
            </w:r>
          </w:p>
        </w:tc>
        <w:tc>
          <w:tcPr>
            <w:tcW w:w="964" w:type="dxa"/>
            <w:shd w:val="clear" w:color="000000" w:fill="FAC090"/>
            <w:tcMar>
              <w:top w:w="17" w:type="dxa"/>
              <w:left w:w="17" w:type="dxa"/>
              <w:bottom w:w="0" w:type="dxa"/>
              <w:right w:w="17" w:type="dxa"/>
            </w:tcMar>
            <w:vAlign w:val="center"/>
            <w:hideMark/>
          </w:tcPr>
          <w:p w:rsidR="009D3D89" w:rsidRPr="009D3D89" w:rsidRDefault="009D3D89" w:rsidP="009D3D89">
            <w:pPr>
              <w:pStyle w:val="Nzev"/>
              <w:jc w:val="center"/>
            </w:pPr>
            <w:r w:rsidRPr="009D3D89">
              <w:t>2016 –18</w:t>
            </w:r>
          </w:p>
        </w:tc>
        <w:tc>
          <w:tcPr>
            <w:tcW w:w="992" w:type="dxa"/>
            <w:shd w:val="clear" w:color="000000" w:fill="FAC090"/>
            <w:tcMar>
              <w:top w:w="17" w:type="dxa"/>
              <w:left w:w="17" w:type="dxa"/>
              <w:bottom w:w="0" w:type="dxa"/>
              <w:right w:w="17" w:type="dxa"/>
            </w:tcMar>
            <w:vAlign w:val="center"/>
            <w:hideMark/>
          </w:tcPr>
          <w:p w:rsidR="009D3D89" w:rsidRPr="009D3D89" w:rsidRDefault="009D3D89" w:rsidP="009D3D89">
            <w:pPr>
              <w:pStyle w:val="Nzev"/>
              <w:jc w:val="center"/>
            </w:pPr>
            <w:r w:rsidRPr="009D3D89">
              <w:t>2019–20</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třídy</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18,1%</w:t>
            </w:r>
          </w:p>
        </w:tc>
        <w:tc>
          <w:tcPr>
            <w:tcW w:w="1020"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12,5%</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11,1%</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27,8%</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prostorů školy pro rozvoj polytechnických dovedností</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8,3%</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6,2%</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27,8%</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22,2%</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knihovny</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6,1%</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5,4%</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0,0%</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herny</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000000" w:fill="C6EFCE"/>
            <w:tcMar>
              <w:top w:w="17" w:type="dxa"/>
              <w:left w:w="17" w:type="dxa"/>
              <w:bottom w:w="0" w:type="dxa"/>
              <w:right w:w="151" w:type="dxa"/>
            </w:tcMar>
            <w:vAlign w:val="center"/>
            <w:hideMark/>
          </w:tcPr>
          <w:p w:rsidR="009D3D89" w:rsidRPr="009D3D89" w:rsidRDefault="009D3D89" w:rsidP="009D3D89">
            <w:pPr>
              <w:pStyle w:val="Nzev"/>
              <w:jc w:val="center"/>
            </w:pPr>
            <w:r w:rsidRPr="009D3D89">
              <w:t>13,7%</w:t>
            </w:r>
          </w:p>
        </w:tc>
        <w:tc>
          <w:tcPr>
            <w:tcW w:w="1020"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9,3%</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11,1%</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38,9%</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tělocvičny</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4,3%</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2,7%</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16,7%</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školní jídelny</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9,0%</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6,1%</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11,1%</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výpočetní technikou pro potřeby pedagogických pracovníků</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12,0%</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8,9%</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33,3%</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22,2%</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Software pro ICT techniku</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9,1%</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6,7%</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27,8%</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22,2%</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Nové didaktické pomůcky</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000000" w:fill="C6EFCE"/>
            <w:tcMar>
              <w:top w:w="17" w:type="dxa"/>
              <w:left w:w="17" w:type="dxa"/>
              <w:bottom w:w="0" w:type="dxa"/>
              <w:right w:w="151" w:type="dxa"/>
            </w:tcMar>
            <w:vAlign w:val="center"/>
            <w:hideMark/>
          </w:tcPr>
          <w:p w:rsidR="009D3D89" w:rsidRPr="009D3D89" w:rsidRDefault="009D3D89" w:rsidP="009D3D89">
            <w:pPr>
              <w:pStyle w:val="Nzev"/>
              <w:jc w:val="center"/>
            </w:pPr>
            <w:r w:rsidRPr="009D3D89">
              <w:t>15,1%</w:t>
            </w:r>
          </w:p>
        </w:tc>
        <w:tc>
          <w:tcPr>
            <w:tcW w:w="1020"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12,4%</w:t>
            </w:r>
          </w:p>
        </w:tc>
        <w:tc>
          <w:tcPr>
            <w:tcW w:w="964"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38,9%</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27,8%</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Připojení k internetu v hernách, ve škole</w:t>
            </w:r>
          </w:p>
        </w:tc>
        <w:tc>
          <w:tcPr>
            <w:tcW w:w="992"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9,4%</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5,4%</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16,7%</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22,2%</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Interaktivní tabule</w:t>
            </w:r>
          </w:p>
        </w:tc>
        <w:tc>
          <w:tcPr>
            <w:tcW w:w="992" w:type="dxa"/>
            <w:shd w:val="clear" w:color="000000" w:fill="C6EFCE"/>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8,8%</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5,8%</w:t>
            </w:r>
          </w:p>
        </w:tc>
        <w:tc>
          <w:tcPr>
            <w:tcW w:w="964" w:type="dxa"/>
            <w:shd w:val="clear" w:color="000000" w:fill="C6EFCE"/>
            <w:noWrap/>
            <w:tcMar>
              <w:top w:w="17" w:type="dxa"/>
              <w:left w:w="17" w:type="dxa"/>
              <w:bottom w:w="0" w:type="dxa"/>
              <w:right w:w="151" w:type="dxa"/>
            </w:tcMar>
            <w:vAlign w:val="center"/>
            <w:hideMark/>
          </w:tcPr>
          <w:p w:rsidR="009D3D89" w:rsidRPr="009D3D89" w:rsidRDefault="009D3D89" w:rsidP="009D3D89">
            <w:pPr>
              <w:pStyle w:val="Nzev"/>
              <w:jc w:val="center"/>
            </w:pPr>
            <w:r w:rsidRPr="009D3D89">
              <w:t>38,9%</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22,2%</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Audiovizuální technika (televize, projektory apod.)</w:t>
            </w:r>
          </w:p>
        </w:tc>
        <w:tc>
          <w:tcPr>
            <w:tcW w:w="992" w:type="dxa"/>
            <w:shd w:val="clear" w:color="000000" w:fill="C6EFCE"/>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7,9%</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5,3%</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11,1%</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22,2%</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Vybavení bezbariérovým nábytkem pro děti se SVP</w:t>
            </w:r>
          </w:p>
        </w:tc>
        <w:tc>
          <w:tcPr>
            <w:tcW w:w="992"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0,0%</w:t>
            </w:r>
          </w:p>
        </w:tc>
        <w:tc>
          <w:tcPr>
            <w:tcW w:w="709"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1,4%</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0,6%</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11,1%</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11,1%</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Didaktické a kompenzační pomůcky pro děti se SVP</w:t>
            </w:r>
          </w:p>
        </w:tc>
        <w:tc>
          <w:tcPr>
            <w:tcW w:w="992" w:type="dxa"/>
            <w:shd w:val="clear" w:color="auto" w:fill="auto"/>
            <w:tcMar>
              <w:top w:w="17" w:type="dxa"/>
              <w:left w:w="17" w:type="dxa"/>
              <w:bottom w:w="0" w:type="dxa"/>
              <w:right w:w="151" w:type="dxa"/>
            </w:tcMar>
            <w:vAlign w:val="center"/>
            <w:hideMark/>
          </w:tcPr>
          <w:p w:rsidR="009D3D89" w:rsidRPr="009D3D89" w:rsidRDefault="009D3D89" w:rsidP="009D3D89">
            <w:pPr>
              <w:pStyle w:val="Nzev"/>
              <w:jc w:val="center"/>
            </w:pPr>
            <w:r w:rsidRPr="009D3D89">
              <w:t>0,0%</w:t>
            </w:r>
          </w:p>
        </w:tc>
        <w:tc>
          <w:tcPr>
            <w:tcW w:w="709"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3,5%</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3,9%</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27,8%</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22,2%</w:t>
            </w:r>
          </w:p>
        </w:tc>
      </w:tr>
      <w:tr w:rsidR="009D3D89" w:rsidRPr="009D3D89" w:rsidTr="009D3D89">
        <w:trPr>
          <w:trHeight w:val="227"/>
        </w:trPr>
        <w:tc>
          <w:tcPr>
            <w:tcW w:w="4412" w:type="dxa"/>
            <w:shd w:val="clear" w:color="auto" w:fill="auto"/>
            <w:tcMar>
              <w:top w:w="17" w:type="dxa"/>
              <w:left w:w="301" w:type="dxa"/>
              <w:bottom w:w="0" w:type="dxa"/>
              <w:right w:w="17" w:type="dxa"/>
            </w:tcMar>
            <w:vAlign w:val="center"/>
            <w:hideMark/>
          </w:tcPr>
          <w:p w:rsidR="009D3D89" w:rsidRPr="009D3D89" w:rsidRDefault="009D3D89" w:rsidP="009D3D89">
            <w:pPr>
              <w:pStyle w:val="Nzev"/>
              <w:ind w:left="-284"/>
              <w:jc w:val="left"/>
            </w:pPr>
            <w:r w:rsidRPr="009D3D89">
              <w:t xml:space="preserve">Vybavení na podporu podnětného vnitřního prostředí školy např. čtenářské koutky, prostor na rozvoj jednotlivých </w:t>
            </w:r>
            <w:proofErr w:type="spellStart"/>
            <w:r w:rsidRPr="009D3D89">
              <w:t>pregramotností</w:t>
            </w:r>
            <w:proofErr w:type="spellEnd"/>
            <w:r w:rsidRPr="009D3D89">
              <w:t>, polytechnických dovedností apod.</w:t>
            </w:r>
          </w:p>
        </w:tc>
        <w:tc>
          <w:tcPr>
            <w:tcW w:w="992" w:type="dxa"/>
            <w:shd w:val="clear" w:color="000000" w:fill="C6EFCE"/>
            <w:tcMar>
              <w:top w:w="17" w:type="dxa"/>
              <w:left w:w="17" w:type="dxa"/>
              <w:bottom w:w="0" w:type="dxa"/>
              <w:right w:w="151" w:type="dxa"/>
            </w:tcMar>
            <w:vAlign w:val="center"/>
            <w:hideMark/>
          </w:tcPr>
          <w:p w:rsidR="009D3D89" w:rsidRPr="009D3D89" w:rsidRDefault="009D3D89" w:rsidP="009D3D89">
            <w:pPr>
              <w:pStyle w:val="Nzev"/>
              <w:jc w:val="center"/>
            </w:pPr>
            <w:r w:rsidRPr="009D3D89">
              <w:t>5,6%</w:t>
            </w:r>
          </w:p>
        </w:tc>
        <w:tc>
          <w:tcPr>
            <w:tcW w:w="709"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7,9%</w:t>
            </w:r>
          </w:p>
        </w:tc>
        <w:tc>
          <w:tcPr>
            <w:tcW w:w="1020"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6,2%</w:t>
            </w:r>
          </w:p>
        </w:tc>
        <w:tc>
          <w:tcPr>
            <w:tcW w:w="964"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33,3%</w:t>
            </w:r>
          </w:p>
        </w:tc>
        <w:tc>
          <w:tcPr>
            <w:tcW w:w="992" w:type="dxa"/>
            <w:shd w:val="clear" w:color="auto" w:fill="auto"/>
            <w:noWrap/>
            <w:tcMar>
              <w:top w:w="17" w:type="dxa"/>
              <w:left w:w="17" w:type="dxa"/>
              <w:bottom w:w="0" w:type="dxa"/>
              <w:right w:w="151" w:type="dxa"/>
            </w:tcMar>
            <w:vAlign w:val="center"/>
            <w:hideMark/>
          </w:tcPr>
          <w:p w:rsidR="009D3D89" w:rsidRPr="009D3D89" w:rsidRDefault="009D3D89" w:rsidP="009D3D89">
            <w:pPr>
              <w:pStyle w:val="Nzev"/>
              <w:jc w:val="center"/>
            </w:pPr>
            <w:r w:rsidRPr="009D3D89">
              <w:t>27,8%</w:t>
            </w:r>
          </w:p>
        </w:tc>
      </w:tr>
    </w:tbl>
    <w:p w:rsidR="0047492A" w:rsidRPr="0047492A" w:rsidRDefault="009D3D89" w:rsidP="0047492A">
      <w:pPr>
        <w:pStyle w:val="Nadpis3"/>
      </w:pPr>
      <w:r>
        <w:t xml:space="preserve"> </w:t>
      </w:r>
      <w:bookmarkStart w:id="18" w:name="_Toc465592566"/>
      <w:r w:rsidR="00E5278B">
        <w:t>Základní školy</w:t>
      </w:r>
      <w:bookmarkEnd w:id="18"/>
    </w:p>
    <w:p w:rsidR="00CB4C5B" w:rsidRDefault="00CB4C5B" w:rsidP="00CB4C5B">
      <w:pPr>
        <w:pStyle w:val="Nadpis4"/>
      </w:pPr>
      <w:bookmarkStart w:id="19" w:name="_Toc465592567"/>
      <w:r>
        <w:t>Preference hlavních oblastí rozvoje</w:t>
      </w:r>
      <w:bookmarkEnd w:id="19"/>
    </w:p>
    <w:p w:rsidR="002058B0" w:rsidRDefault="00E13C61" w:rsidP="00E13C61">
      <w:pPr>
        <w:pStyle w:val="Bezmezer"/>
      </w:pPr>
      <w:r>
        <w:t xml:space="preserve">Následující tabulka v prvním sloupci </w:t>
      </w:r>
      <w:r w:rsidR="00532418">
        <w:t>zmiňuje</w:t>
      </w:r>
      <w:r>
        <w:t xml:space="preserve"> šest </w:t>
      </w:r>
      <w:r w:rsidR="00532418">
        <w:t xml:space="preserve">hlavních oblastí, které </w:t>
      </w:r>
      <w:r w:rsidR="00742601">
        <w:t>by měly být</w:t>
      </w:r>
      <w:r w:rsidR="00532418">
        <w:t xml:space="preserve"> v rámci rozvoje </w:t>
      </w:r>
      <w:r w:rsidR="00EC696E">
        <w:t>primárního vzdělávání</w:t>
      </w:r>
      <w:r w:rsidR="00532418">
        <w:t xml:space="preserve"> podporované v období 2016 – 2020 EU</w:t>
      </w:r>
      <w:r w:rsidR="00B065C8">
        <w:t xml:space="preserve">. </w:t>
      </w:r>
      <w:r w:rsidR="005C421B">
        <w:t>K těm se měl</w:t>
      </w:r>
      <w:r w:rsidR="00742601">
        <w:t>y</w:t>
      </w:r>
      <w:r w:rsidR="005C421B">
        <w:t xml:space="preserve"> jednotlivé ZŠ vyjádřit a </w:t>
      </w:r>
      <w:r w:rsidR="005C421B" w:rsidRPr="00F556F5">
        <w:rPr>
          <w:b/>
        </w:rPr>
        <w:t xml:space="preserve">přiřadit </w:t>
      </w:r>
      <w:r w:rsidR="00742601" w:rsidRPr="00F556F5">
        <w:rPr>
          <w:b/>
        </w:rPr>
        <w:t>jim prioritu dle svých potřeb od jedné (nejvyšší priorita) do šesti (nejnižší priorita</w:t>
      </w:r>
      <w:r w:rsidR="00650808" w:rsidRPr="00F556F5">
        <w:rPr>
          <w:b/>
        </w:rPr>
        <w:t>)</w:t>
      </w:r>
      <w:r w:rsidR="00650808">
        <w:t>.</w:t>
      </w:r>
      <w:r w:rsidR="007F519E">
        <w:t xml:space="preserve"> Z druhého až čtvrtého sloupce jsou tak patrné konkrétní preference ZŠ na úrovni ORP, kraje i státu (jedná se o zprůměrované hodnoty v rámci jednotlivých administrativních celků).</w:t>
      </w:r>
      <w:r w:rsidR="007D0183">
        <w:t xml:space="preserve"> </w:t>
      </w:r>
      <w:r w:rsidR="007D0183" w:rsidRPr="00084C2B">
        <w:rPr>
          <w:b/>
        </w:rPr>
        <w:t>Na všech třech úrovních panuje 100% shoda nad pořadím všech priorit</w:t>
      </w:r>
      <w:r w:rsidR="007D0183">
        <w:t xml:space="preserve">. </w:t>
      </w:r>
      <w:r w:rsidR="007D0183" w:rsidRPr="005C7EF2">
        <w:rPr>
          <w:b/>
        </w:rPr>
        <w:t>Nejvíce je preferovaná podpora rozvoje infrastruktury a to včetně rekonstrukcí a vybavení</w:t>
      </w:r>
      <w:r w:rsidR="007D0183">
        <w:t>, následovaná podporou rozvoje čtenářské gramotnosti a matematické gramotnosti. Čtvrtá je podpora</w:t>
      </w:r>
      <w:r w:rsidR="007F519E">
        <w:t xml:space="preserve"> </w:t>
      </w:r>
      <w:r w:rsidR="00985A94">
        <w:t xml:space="preserve">inkluzivního vzdělávání, pátá podpora polytechnického vzdělávání a </w:t>
      </w:r>
      <w:r w:rsidR="00985A94" w:rsidRPr="005C7EF2">
        <w:rPr>
          <w:b/>
        </w:rPr>
        <w:t>poslední podpora kompetencí k podnikavosti, iniciativě a kreativitě žáků</w:t>
      </w:r>
      <w:r w:rsidR="00985A94">
        <w:t>.</w:t>
      </w:r>
      <w:r w:rsidR="005C7EF2">
        <w:t xml:space="preserve"> </w:t>
      </w:r>
    </w:p>
    <w:p w:rsidR="009941B7" w:rsidRDefault="009941B7" w:rsidP="00E13C61">
      <w:pPr>
        <w:pStyle w:val="Bezmezer"/>
      </w:pPr>
      <w:r>
        <w:t xml:space="preserve">Co se hodnocení aktuálního stavu týká, </w:t>
      </w:r>
      <w:r w:rsidR="002058B0">
        <w:t xml:space="preserve">tak ten popisují poslední tři sloupce. </w:t>
      </w:r>
      <w:r w:rsidR="007323B8">
        <w:t>H</w:t>
      </w:r>
      <w:r w:rsidR="002058B0">
        <w:t xml:space="preserve">odnocení vychází z detailnějších tabulek, kterými se budeme zabývat dále a </w:t>
      </w:r>
      <w:r w:rsidR="002058B0" w:rsidRPr="00F556F5">
        <w:rPr>
          <w:b/>
        </w:rPr>
        <w:t xml:space="preserve">škála je stanovena od </w:t>
      </w:r>
      <w:r w:rsidR="002058B0" w:rsidRPr="00F556F5">
        <w:rPr>
          <w:b/>
        </w:rPr>
        <w:lastRenderedPageBreak/>
        <w:t>jedné do čtyř, přičemž hodnota 1 znamená „vůbec se neuplatňuje, tzn. maximálně stádium prvotních úvah“ a hodnota 4 naopak „ideální stav, tzn. vytvořené podmínky, funkční systém“</w:t>
      </w:r>
      <w:r w:rsidR="002058B0">
        <w:t>. I</w:t>
      </w:r>
      <w:r>
        <w:t xml:space="preserve"> zde panuje výrazná shoda. Hodnocení všech šesti oblastí na všech třech úrovních se vejde do rozmezí 2,16 až 2,67</w:t>
      </w:r>
      <w:r w:rsidR="003F21B6">
        <w:t>, tedy pomezí mezi „rozvíjející se oblast, počáteční realizace“ a „realizovaná oblast, funkční části systému“.</w:t>
      </w:r>
      <w:r w:rsidR="00C43921">
        <w:t xml:space="preserve"> </w:t>
      </w:r>
      <w:r w:rsidR="004A361F">
        <w:t>O</w:t>
      </w:r>
      <w:r w:rsidR="00C43921">
        <w:t>becně se dá říc</w:t>
      </w:r>
      <w:r w:rsidR="004A361F">
        <w:t>i</w:t>
      </w:r>
      <w:r w:rsidR="00C43921">
        <w:t>, že SO ORP KH</w:t>
      </w:r>
      <w:r w:rsidR="00AD1023">
        <w:t xml:space="preserve"> patří spíše k regionům, kde jsou veškeré oblasti o drobný krok dále</w:t>
      </w:r>
      <w:r w:rsidR="002D7ABF">
        <w:t>, co se jejich realizace týká</w:t>
      </w:r>
      <w:r w:rsidR="00AD1023">
        <w:t>.</w:t>
      </w:r>
    </w:p>
    <w:p w:rsidR="006A2AD7" w:rsidRPr="006A2AD7" w:rsidRDefault="006A2AD7" w:rsidP="006A2AD7">
      <w:pPr>
        <w:pStyle w:val="Nadpis5"/>
      </w:pPr>
      <w:r w:rsidRPr="006A2AD7">
        <w:t>Tabulka: Hlavní oblasti podporované z</w:t>
      </w:r>
      <w:r w:rsidR="00650808">
        <w:t xml:space="preserve"> EU a jejich priority </w:t>
      </w:r>
      <w:r w:rsidR="00AE5353">
        <w:t xml:space="preserve">a stav </w:t>
      </w:r>
      <w:r w:rsidR="00650808">
        <w:t>z hlediska škol</w:t>
      </w:r>
    </w:p>
    <w:tbl>
      <w:tblPr>
        <w:tblW w:w="9082" w:type="dxa"/>
        <w:tblInd w:w="60" w:type="dxa"/>
        <w:tblLayout w:type="fixed"/>
        <w:tblCellMar>
          <w:left w:w="70" w:type="dxa"/>
          <w:right w:w="70" w:type="dxa"/>
        </w:tblCellMar>
        <w:tblLook w:val="04A0"/>
      </w:tblPr>
      <w:tblGrid>
        <w:gridCol w:w="4830"/>
        <w:gridCol w:w="992"/>
        <w:gridCol w:w="567"/>
        <w:gridCol w:w="567"/>
        <w:gridCol w:w="992"/>
        <w:gridCol w:w="567"/>
        <w:gridCol w:w="567"/>
      </w:tblGrid>
      <w:tr w:rsidR="006A2AD7" w:rsidRPr="00471F3A" w:rsidTr="00560CBB">
        <w:trPr>
          <w:trHeight w:val="284"/>
        </w:trPr>
        <w:tc>
          <w:tcPr>
            <w:tcW w:w="4830" w:type="dxa"/>
            <w:vMerge w:val="restart"/>
            <w:tcBorders>
              <w:bottom w:val="double" w:sz="6" w:space="0" w:color="000000"/>
              <w:right w:val="double" w:sz="6" w:space="0" w:color="auto"/>
            </w:tcBorders>
            <w:shd w:val="clear" w:color="000000" w:fill="F4B082"/>
            <w:vAlign w:val="center"/>
            <w:hideMark/>
          </w:tcPr>
          <w:p w:rsidR="006A2AD7" w:rsidRPr="00471F3A" w:rsidRDefault="006A2AD7" w:rsidP="006A2AD7">
            <w:pPr>
              <w:pStyle w:val="Nzev"/>
              <w:rPr>
                <w:rFonts w:eastAsia="Times New Roman" w:cs="Arial"/>
                <w:szCs w:val="18"/>
                <w:lang w:eastAsia="cs-CZ"/>
              </w:rPr>
            </w:pPr>
          </w:p>
        </w:tc>
        <w:tc>
          <w:tcPr>
            <w:tcW w:w="2126" w:type="dxa"/>
            <w:gridSpan w:val="3"/>
            <w:tcBorders>
              <w:left w:val="nil"/>
              <w:bottom w:val="single" w:sz="4" w:space="0" w:color="auto"/>
              <w:right w:val="single" w:sz="8" w:space="0" w:color="000000"/>
            </w:tcBorders>
            <w:shd w:val="clear" w:color="000000" w:fill="F4B082"/>
            <w:noWrap/>
            <w:vAlign w:val="bottom"/>
            <w:hideMark/>
          </w:tcPr>
          <w:p w:rsidR="006A2AD7" w:rsidRPr="00471F3A" w:rsidRDefault="006A2AD7" w:rsidP="006A2AD7">
            <w:pPr>
              <w:pStyle w:val="Nzev"/>
              <w:rPr>
                <w:rFonts w:eastAsia="Times New Roman" w:cs="Arial"/>
                <w:szCs w:val="18"/>
                <w:lang w:eastAsia="cs-CZ"/>
              </w:rPr>
            </w:pPr>
            <w:r w:rsidRPr="00471F3A">
              <w:rPr>
                <w:rFonts w:eastAsia="Times New Roman" w:cs="Arial"/>
                <w:szCs w:val="18"/>
                <w:lang w:eastAsia="cs-CZ"/>
              </w:rPr>
              <w:t>Pořadí podle potřeb škol</w:t>
            </w:r>
          </w:p>
        </w:tc>
        <w:tc>
          <w:tcPr>
            <w:tcW w:w="2126" w:type="dxa"/>
            <w:gridSpan w:val="3"/>
            <w:tcBorders>
              <w:left w:val="nil"/>
              <w:bottom w:val="single" w:sz="4" w:space="0" w:color="auto"/>
            </w:tcBorders>
            <w:shd w:val="clear" w:color="000000" w:fill="F4B082"/>
            <w:vAlign w:val="bottom"/>
            <w:hideMark/>
          </w:tcPr>
          <w:p w:rsidR="006A2AD7" w:rsidRPr="00471F3A" w:rsidRDefault="006A2AD7" w:rsidP="006A2AD7">
            <w:pPr>
              <w:pStyle w:val="Nzev"/>
              <w:rPr>
                <w:rFonts w:cs="Arial"/>
                <w:szCs w:val="18"/>
              </w:rPr>
            </w:pPr>
            <w:proofErr w:type="spellStart"/>
            <w:r w:rsidRPr="00471F3A">
              <w:rPr>
                <w:rFonts w:cs="Arial"/>
                <w:szCs w:val="18"/>
              </w:rPr>
              <w:t>Prům</w:t>
            </w:r>
            <w:proofErr w:type="spellEnd"/>
            <w:r w:rsidRPr="00471F3A">
              <w:rPr>
                <w:rFonts w:cs="Arial"/>
                <w:szCs w:val="18"/>
              </w:rPr>
              <w:t>. hodnocení aktuál</w:t>
            </w:r>
            <w:r w:rsidR="00AE5353">
              <w:rPr>
                <w:rFonts w:cs="Arial"/>
                <w:szCs w:val="18"/>
              </w:rPr>
              <w:t>ního</w:t>
            </w:r>
            <w:r w:rsidRPr="00471F3A">
              <w:rPr>
                <w:rFonts w:cs="Arial"/>
                <w:szCs w:val="18"/>
              </w:rPr>
              <w:t xml:space="preserve"> stavu</w:t>
            </w:r>
          </w:p>
        </w:tc>
      </w:tr>
      <w:tr w:rsidR="006A2AD7" w:rsidRPr="00471F3A" w:rsidTr="00560CBB">
        <w:trPr>
          <w:trHeight w:val="284"/>
        </w:trPr>
        <w:tc>
          <w:tcPr>
            <w:tcW w:w="4830" w:type="dxa"/>
            <w:vMerge/>
            <w:tcBorders>
              <w:top w:val="single" w:sz="8" w:space="0" w:color="auto"/>
              <w:bottom w:val="double" w:sz="6" w:space="0" w:color="000000"/>
              <w:right w:val="double" w:sz="6" w:space="0" w:color="auto"/>
            </w:tcBorders>
            <w:vAlign w:val="center"/>
            <w:hideMark/>
          </w:tcPr>
          <w:p w:rsidR="006A2AD7" w:rsidRPr="00471F3A" w:rsidRDefault="006A2AD7" w:rsidP="006A2AD7">
            <w:pPr>
              <w:pStyle w:val="Nzev"/>
              <w:rPr>
                <w:rFonts w:eastAsia="Times New Roman" w:cs="Arial"/>
                <w:szCs w:val="18"/>
                <w:lang w:eastAsia="cs-CZ"/>
              </w:rPr>
            </w:pPr>
          </w:p>
        </w:tc>
        <w:tc>
          <w:tcPr>
            <w:tcW w:w="992" w:type="dxa"/>
            <w:tcBorders>
              <w:top w:val="nil"/>
              <w:left w:val="nil"/>
              <w:bottom w:val="double" w:sz="6" w:space="0" w:color="auto"/>
              <w:right w:val="single" w:sz="4" w:space="0" w:color="auto"/>
            </w:tcBorders>
            <w:shd w:val="clear" w:color="000000" w:fill="F4B082"/>
            <w:vAlign w:val="center"/>
            <w:hideMark/>
          </w:tcPr>
          <w:p w:rsidR="006A2AD7" w:rsidRPr="00471F3A" w:rsidRDefault="006A2AD7" w:rsidP="006A2AD7">
            <w:pPr>
              <w:pStyle w:val="Nzev"/>
              <w:rPr>
                <w:rFonts w:eastAsia="Times New Roman" w:cs="Arial"/>
                <w:szCs w:val="18"/>
                <w:lang w:eastAsia="cs-CZ"/>
              </w:rPr>
            </w:pPr>
            <w:r w:rsidRPr="00471F3A">
              <w:rPr>
                <w:rFonts w:eastAsia="Times New Roman" w:cs="Arial"/>
                <w:caps/>
                <w:szCs w:val="18"/>
                <w:lang w:eastAsia="cs-CZ"/>
              </w:rPr>
              <w:t xml:space="preserve">SO </w:t>
            </w:r>
            <w:r w:rsidRPr="00471F3A">
              <w:rPr>
                <w:rFonts w:eastAsia="Times New Roman" w:cs="Arial"/>
                <w:szCs w:val="18"/>
                <w:lang w:eastAsia="cs-CZ"/>
              </w:rPr>
              <w:t>ORP</w:t>
            </w:r>
          </w:p>
        </w:tc>
        <w:tc>
          <w:tcPr>
            <w:tcW w:w="567" w:type="dxa"/>
            <w:tcBorders>
              <w:top w:val="nil"/>
              <w:left w:val="nil"/>
              <w:bottom w:val="double" w:sz="6" w:space="0" w:color="auto"/>
              <w:right w:val="single" w:sz="4" w:space="0" w:color="auto"/>
            </w:tcBorders>
            <w:shd w:val="clear" w:color="000000" w:fill="F4B082"/>
            <w:vAlign w:val="center"/>
            <w:hideMark/>
          </w:tcPr>
          <w:p w:rsidR="006A2AD7" w:rsidRPr="00471F3A" w:rsidRDefault="006A2AD7" w:rsidP="006A2AD7">
            <w:pPr>
              <w:pStyle w:val="Nzev"/>
              <w:rPr>
                <w:rFonts w:eastAsia="Times New Roman" w:cs="Arial"/>
                <w:szCs w:val="18"/>
                <w:lang w:eastAsia="cs-CZ"/>
              </w:rPr>
            </w:pPr>
            <w:r w:rsidRPr="00471F3A">
              <w:rPr>
                <w:rFonts w:eastAsia="Times New Roman" w:cs="Arial"/>
                <w:szCs w:val="18"/>
                <w:lang w:eastAsia="cs-CZ"/>
              </w:rPr>
              <w:t>kraj</w:t>
            </w:r>
          </w:p>
        </w:tc>
        <w:tc>
          <w:tcPr>
            <w:tcW w:w="567" w:type="dxa"/>
            <w:tcBorders>
              <w:top w:val="nil"/>
              <w:left w:val="nil"/>
              <w:bottom w:val="double" w:sz="6" w:space="0" w:color="auto"/>
              <w:right w:val="single" w:sz="8" w:space="0" w:color="auto"/>
            </w:tcBorders>
            <w:shd w:val="clear" w:color="000000" w:fill="F4B082"/>
            <w:vAlign w:val="center"/>
            <w:hideMark/>
          </w:tcPr>
          <w:p w:rsidR="006A2AD7" w:rsidRPr="00471F3A" w:rsidRDefault="006A2AD7" w:rsidP="006A2AD7">
            <w:pPr>
              <w:pStyle w:val="Nzev"/>
              <w:rPr>
                <w:rFonts w:eastAsia="Times New Roman" w:cs="Arial"/>
                <w:szCs w:val="18"/>
                <w:lang w:eastAsia="cs-CZ"/>
              </w:rPr>
            </w:pPr>
            <w:r w:rsidRPr="00471F3A">
              <w:rPr>
                <w:rFonts w:eastAsia="Times New Roman" w:cs="Arial"/>
                <w:szCs w:val="18"/>
                <w:lang w:eastAsia="cs-CZ"/>
              </w:rPr>
              <w:t xml:space="preserve">ČR </w:t>
            </w:r>
          </w:p>
        </w:tc>
        <w:tc>
          <w:tcPr>
            <w:tcW w:w="992" w:type="dxa"/>
            <w:tcBorders>
              <w:top w:val="nil"/>
              <w:left w:val="nil"/>
              <w:bottom w:val="double" w:sz="6" w:space="0" w:color="auto"/>
              <w:right w:val="single" w:sz="4" w:space="0" w:color="auto"/>
            </w:tcBorders>
            <w:shd w:val="clear" w:color="000000" w:fill="F4B082"/>
            <w:vAlign w:val="center"/>
            <w:hideMark/>
          </w:tcPr>
          <w:p w:rsidR="006A2AD7" w:rsidRPr="00471F3A" w:rsidRDefault="006A2AD7" w:rsidP="006A2AD7">
            <w:pPr>
              <w:pStyle w:val="Nzev"/>
              <w:rPr>
                <w:rFonts w:eastAsia="Times New Roman" w:cs="Arial"/>
                <w:szCs w:val="18"/>
                <w:lang w:eastAsia="cs-CZ"/>
              </w:rPr>
            </w:pPr>
            <w:r w:rsidRPr="00471F3A">
              <w:rPr>
                <w:rFonts w:eastAsia="Times New Roman" w:cs="Arial"/>
                <w:caps/>
                <w:szCs w:val="18"/>
                <w:lang w:eastAsia="cs-CZ"/>
              </w:rPr>
              <w:t>SO</w:t>
            </w:r>
            <w:r w:rsidRPr="00471F3A">
              <w:rPr>
                <w:rFonts w:eastAsia="Times New Roman" w:cs="Arial"/>
                <w:szCs w:val="18"/>
                <w:lang w:eastAsia="cs-CZ"/>
              </w:rPr>
              <w:t xml:space="preserve"> ORP</w:t>
            </w:r>
          </w:p>
        </w:tc>
        <w:tc>
          <w:tcPr>
            <w:tcW w:w="567" w:type="dxa"/>
            <w:tcBorders>
              <w:top w:val="nil"/>
              <w:left w:val="nil"/>
              <w:bottom w:val="double" w:sz="6" w:space="0" w:color="auto"/>
              <w:right w:val="single" w:sz="4" w:space="0" w:color="auto"/>
            </w:tcBorders>
            <w:shd w:val="clear" w:color="000000" w:fill="F4B082"/>
            <w:vAlign w:val="center"/>
            <w:hideMark/>
          </w:tcPr>
          <w:p w:rsidR="006A2AD7" w:rsidRPr="00471F3A" w:rsidRDefault="006A2AD7" w:rsidP="006A2AD7">
            <w:pPr>
              <w:pStyle w:val="Nzev"/>
              <w:rPr>
                <w:rFonts w:eastAsia="Times New Roman" w:cs="Arial"/>
                <w:szCs w:val="18"/>
                <w:lang w:eastAsia="cs-CZ"/>
              </w:rPr>
            </w:pPr>
            <w:r w:rsidRPr="00471F3A">
              <w:rPr>
                <w:rFonts w:eastAsia="Times New Roman" w:cs="Arial"/>
                <w:szCs w:val="18"/>
                <w:lang w:eastAsia="cs-CZ"/>
              </w:rPr>
              <w:t>kraj</w:t>
            </w:r>
          </w:p>
        </w:tc>
        <w:tc>
          <w:tcPr>
            <w:tcW w:w="567" w:type="dxa"/>
            <w:tcBorders>
              <w:top w:val="nil"/>
              <w:left w:val="nil"/>
              <w:bottom w:val="double" w:sz="6" w:space="0" w:color="auto"/>
            </w:tcBorders>
            <w:shd w:val="clear" w:color="000000" w:fill="F4B082"/>
            <w:vAlign w:val="center"/>
            <w:hideMark/>
          </w:tcPr>
          <w:p w:rsidR="006A2AD7" w:rsidRPr="00471F3A" w:rsidRDefault="006A2AD7" w:rsidP="006A2AD7">
            <w:pPr>
              <w:pStyle w:val="Nzev"/>
              <w:rPr>
                <w:rFonts w:eastAsia="Times New Roman" w:cs="Arial"/>
                <w:szCs w:val="18"/>
                <w:lang w:eastAsia="cs-CZ"/>
              </w:rPr>
            </w:pPr>
            <w:r w:rsidRPr="00471F3A">
              <w:rPr>
                <w:rFonts w:eastAsia="Times New Roman" w:cs="Arial"/>
                <w:szCs w:val="18"/>
                <w:lang w:eastAsia="cs-CZ"/>
              </w:rPr>
              <w:t xml:space="preserve">ČR </w:t>
            </w:r>
          </w:p>
        </w:tc>
      </w:tr>
      <w:tr w:rsidR="006A2AD7" w:rsidRPr="00471F3A" w:rsidTr="00560CBB">
        <w:trPr>
          <w:trHeight w:val="284"/>
        </w:trPr>
        <w:tc>
          <w:tcPr>
            <w:tcW w:w="4830" w:type="dxa"/>
            <w:tcBorders>
              <w:top w:val="nil"/>
              <w:bottom w:val="single" w:sz="4" w:space="0" w:color="auto"/>
              <w:right w:val="double" w:sz="6" w:space="0" w:color="auto"/>
            </w:tcBorders>
            <w:shd w:val="clear" w:color="auto" w:fill="auto"/>
            <w:vAlign w:val="center"/>
            <w:hideMark/>
          </w:tcPr>
          <w:p w:rsidR="006A2AD7" w:rsidRPr="00471F3A" w:rsidRDefault="006A2AD7" w:rsidP="006A2AD7">
            <w:pPr>
              <w:pStyle w:val="Nzev"/>
              <w:jc w:val="left"/>
              <w:rPr>
                <w:rFonts w:cs="Arial"/>
                <w:szCs w:val="18"/>
              </w:rPr>
            </w:pPr>
            <w:r w:rsidRPr="00471F3A">
              <w:rPr>
                <w:rFonts w:cs="Arial"/>
                <w:szCs w:val="18"/>
              </w:rPr>
              <w:t>Podpora inkluzivního / společného vzdělávání</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4</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4</w:t>
            </w:r>
          </w:p>
        </w:tc>
        <w:tc>
          <w:tcPr>
            <w:tcW w:w="567" w:type="dxa"/>
            <w:tcBorders>
              <w:top w:val="nil"/>
              <w:left w:val="nil"/>
              <w:bottom w:val="single" w:sz="4" w:space="0" w:color="auto"/>
              <w:right w:val="single" w:sz="8"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4</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2,67</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2,59</w:t>
            </w:r>
          </w:p>
        </w:tc>
        <w:tc>
          <w:tcPr>
            <w:tcW w:w="567" w:type="dxa"/>
            <w:tcBorders>
              <w:top w:val="nil"/>
              <w:left w:val="nil"/>
              <w:bottom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2,58</w:t>
            </w:r>
          </w:p>
        </w:tc>
      </w:tr>
      <w:tr w:rsidR="006A2AD7" w:rsidRPr="00471F3A" w:rsidTr="00560CBB">
        <w:trPr>
          <w:trHeight w:val="284"/>
        </w:trPr>
        <w:tc>
          <w:tcPr>
            <w:tcW w:w="4830" w:type="dxa"/>
            <w:tcBorders>
              <w:top w:val="nil"/>
              <w:bottom w:val="single" w:sz="4" w:space="0" w:color="auto"/>
              <w:right w:val="double" w:sz="6" w:space="0" w:color="auto"/>
            </w:tcBorders>
            <w:shd w:val="clear" w:color="auto" w:fill="auto"/>
            <w:vAlign w:val="center"/>
            <w:hideMark/>
          </w:tcPr>
          <w:p w:rsidR="006A2AD7" w:rsidRPr="00471F3A" w:rsidRDefault="006A2AD7" w:rsidP="006A2AD7">
            <w:pPr>
              <w:pStyle w:val="Nzev"/>
              <w:jc w:val="left"/>
              <w:rPr>
                <w:rFonts w:cs="Arial"/>
                <w:szCs w:val="18"/>
              </w:rPr>
            </w:pPr>
            <w:r w:rsidRPr="00471F3A">
              <w:rPr>
                <w:rFonts w:cs="Arial"/>
                <w:szCs w:val="18"/>
              </w:rPr>
              <w:t>Podpora rozvoje čtenářské gramotnosti</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w:t>
            </w:r>
          </w:p>
        </w:tc>
        <w:tc>
          <w:tcPr>
            <w:tcW w:w="567" w:type="dxa"/>
            <w:tcBorders>
              <w:top w:val="nil"/>
              <w:left w:val="nil"/>
              <w:bottom w:val="single" w:sz="4" w:space="0" w:color="auto"/>
              <w:right w:val="single" w:sz="8"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2,61</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2,50</w:t>
            </w:r>
          </w:p>
        </w:tc>
        <w:tc>
          <w:tcPr>
            <w:tcW w:w="567" w:type="dxa"/>
            <w:tcBorders>
              <w:top w:val="nil"/>
              <w:left w:val="nil"/>
              <w:bottom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2,48</w:t>
            </w:r>
          </w:p>
        </w:tc>
      </w:tr>
      <w:tr w:rsidR="006A2AD7" w:rsidRPr="00471F3A" w:rsidTr="00560CBB">
        <w:trPr>
          <w:trHeight w:val="284"/>
        </w:trPr>
        <w:tc>
          <w:tcPr>
            <w:tcW w:w="4830" w:type="dxa"/>
            <w:tcBorders>
              <w:top w:val="nil"/>
              <w:bottom w:val="single" w:sz="4" w:space="0" w:color="auto"/>
              <w:right w:val="double" w:sz="6" w:space="0" w:color="auto"/>
            </w:tcBorders>
            <w:shd w:val="clear" w:color="auto" w:fill="auto"/>
            <w:vAlign w:val="center"/>
            <w:hideMark/>
          </w:tcPr>
          <w:p w:rsidR="006A2AD7" w:rsidRPr="00471F3A" w:rsidRDefault="006A2AD7" w:rsidP="00AE5353">
            <w:pPr>
              <w:pStyle w:val="Nzev"/>
              <w:jc w:val="left"/>
              <w:rPr>
                <w:rFonts w:cs="Arial"/>
                <w:szCs w:val="18"/>
              </w:rPr>
            </w:pPr>
            <w:r w:rsidRPr="00471F3A">
              <w:rPr>
                <w:rFonts w:cs="Arial"/>
                <w:szCs w:val="18"/>
              </w:rPr>
              <w:t>Podpora rozvoje matematické gramotnosti</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3</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3</w:t>
            </w:r>
          </w:p>
        </w:tc>
        <w:tc>
          <w:tcPr>
            <w:tcW w:w="567" w:type="dxa"/>
            <w:tcBorders>
              <w:top w:val="nil"/>
              <w:left w:val="nil"/>
              <w:bottom w:val="single" w:sz="4" w:space="0" w:color="auto"/>
              <w:right w:val="single" w:sz="8"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2,48</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2,35</w:t>
            </w:r>
          </w:p>
        </w:tc>
        <w:tc>
          <w:tcPr>
            <w:tcW w:w="567" w:type="dxa"/>
            <w:tcBorders>
              <w:top w:val="nil"/>
              <w:left w:val="nil"/>
              <w:bottom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2,33</w:t>
            </w:r>
          </w:p>
        </w:tc>
      </w:tr>
      <w:tr w:rsidR="006A2AD7" w:rsidRPr="00471F3A" w:rsidTr="00560CBB">
        <w:trPr>
          <w:trHeight w:val="284"/>
        </w:trPr>
        <w:tc>
          <w:tcPr>
            <w:tcW w:w="4830" w:type="dxa"/>
            <w:tcBorders>
              <w:top w:val="nil"/>
              <w:bottom w:val="single" w:sz="4" w:space="0" w:color="auto"/>
              <w:right w:val="double" w:sz="6" w:space="0" w:color="auto"/>
            </w:tcBorders>
            <w:shd w:val="clear" w:color="auto" w:fill="auto"/>
            <w:vAlign w:val="center"/>
            <w:hideMark/>
          </w:tcPr>
          <w:p w:rsidR="006A2AD7" w:rsidRPr="00471F3A" w:rsidRDefault="006A2AD7" w:rsidP="006A2AD7">
            <w:pPr>
              <w:pStyle w:val="Nzev"/>
              <w:jc w:val="left"/>
              <w:rPr>
                <w:rFonts w:cs="Arial"/>
                <w:szCs w:val="18"/>
              </w:rPr>
            </w:pPr>
            <w:r w:rsidRPr="00471F3A">
              <w:rPr>
                <w:rFonts w:cs="Arial"/>
                <w:szCs w:val="18"/>
              </w:rPr>
              <w:t>Podpora kompetencí k podnikavosti, iniciativě a kreativitě žáků</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6</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6</w:t>
            </w:r>
          </w:p>
        </w:tc>
        <w:tc>
          <w:tcPr>
            <w:tcW w:w="567" w:type="dxa"/>
            <w:tcBorders>
              <w:top w:val="nil"/>
              <w:left w:val="nil"/>
              <w:bottom w:val="single" w:sz="4" w:space="0" w:color="auto"/>
              <w:right w:val="single" w:sz="8"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6</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2,51</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2,37</w:t>
            </w:r>
          </w:p>
        </w:tc>
        <w:tc>
          <w:tcPr>
            <w:tcW w:w="567" w:type="dxa"/>
            <w:tcBorders>
              <w:top w:val="nil"/>
              <w:left w:val="nil"/>
              <w:bottom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2,33</w:t>
            </w:r>
          </w:p>
        </w:tc>
      </w:tr>
      <w:tr w:rsidR="00AE5353" w:rsidRPr="00471F3A" w:rsidTr="00560CBB">
        <w:trPr>
          <w:trHeight w:val="284"/>
        </w:trPr>
        <w:tc>
          <w:tcPr>
            <w:tcW w:w="4830" w:type="dxa"/>
            <w:tcBorders>
              <w:top w:val="nil"/>
              <w:bottom w:val="single" w:sz="4" w:space="0" w:color="auto"/>
              <w:right w:val="double" w:sz="6" w:space="0" w:color="auto"/>
            </w:tcBorders>
            <w:shd w:val="clear" w:color="auto" w:fill="auto"/>
            <w:vAlign w:val="center"/>
            <w:hideMark/>
          </w:tcPr>
          <w:p w:rsidR="006A2AD7" w:rsidRPr="00471F3A" w:rsidRDefault="006A2AD7" w:rsidP="006A2AD7">
            <w:pPr>
              <w:pStyle w:val="Nzev"/>
              <w:jc w:val="left"/>
              <w:rPr>
                <w:rFonts w:cs="Arial"/>
                <w:szCs w:val="18"/>
              </w:rPr>
            </w:pPr>
            <w:r w:rsidRPr="00471F3A">
              <w:rPr>
                <w:rFonts w:cs="Arial"/>
                <w:szCs w:val="18"/>
              </w:rPr>
              <w:t>Podpora polytechnického vzdělávání</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5</w:t>
            </w:r>
          </w:p>
        </w:tc>
        <w:tc>
          <w:tcPr>
            <w:tcW w:w="567" w:type="dxa"/>
            <w:tcBorders>
              <w:top w:val="nil"/>
              <w:left w:val="nil"/>
              <w:bottom w:val="single" w:sz="4" w:space="0" w:color="auto"/>
              <w:right w:val="single" w:sz="8"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2,38</w:t>
            </w:r>
          </w:p>
        </w:tc>
        <w:tc>
          <w:tcPr>
            <w:tcW w:w="567" w:type="dxa"/>
            <w:tcBorders>
              <w:top w:val="nil"/>
              <w:left w:val="nil"/>
              <w:bottom w:val="single" w:sz="4" w:space="0" w:color="auto"/>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2,16</w:t>
            </w:r>
          </w:p>
        </w:tc>
        <w:tc>
          <w:tcPr>
            <w:tcW w:w="567" w:type="dxa"/>
            <w:tcBorders>
              <w:top w:val="nil"/>
              <w:left w:val="nil"/>
              <w:bottom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2,19</w:t>
            </w:r>
          </w:p>
        </w:tc>
      </w:tr>
      <w:tr w:rsidR="00AE5353" w:rsidRPr="00471F3A" w:rsidTr="00560CBB">
        <w:trPr>
          <w:trHeight w:val="284"/>
        </w:trPr>
        <w:tc>
          <w:tcPr>
            <w:tcW w:w="4830" w:type="dxa"/>
            <w:tcBorders>
              <w:top w:val="nil"/>
              <w:right w:val="double" w:sz="6" w:space="0" w:color="auto"/>
            </w:tcBorders>
            <w:shd w:val="clear" w:color="auto" w:fill="auto"/>
            <w:vAlign w:val="center"/>
            <w:hideMark/>
          </w:tcPr>
          <w:p w:rsidR="006A2AD7" w:rsidRPr="00471F3A" w:rsidRDefault="006A2AD7" w:rsidP="006A2AD7">
            <w:pPr>
              <w:pStyle w:val="Nzev"/>
              <w:jc w:val="left"/>
              <w:rPr>
                <w:rFonts w:cs="Arial"/>
                <w:szCs w:val="18"/>
              </w:rPr>
            </w:pPr>
            <w:r w:rsidRPr="00471F3A">
              <w:rPr>
                <w:rFonts w:cs="Arial"/>
                <w:szCs w:val="18"/>
              </w:rPr>
              <w:t>Rozvoj infrastruktury školy, vč. rekonstrukcí a vybavení</w:t>
            </w:r>
          </w:p>
        </w:tc>
        <w:tc>
          <w:tcPr>
            <w:tcW w:w="992" w:type="dxa"/>
            <w:tcBorders>
              <w:top w:val="nil"/>
              <w:left w:val="nil"/>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1</w:t>
            </w:r>
          </w:p>
        </w:tc>
        <w:tc>
          <w:tcPr>
            <w:tcW w:w="567" w:type="dxa"/>
            <w:tcBorders>
              <w:top w:val="nil"/>
              <w:left w:val="nil"/>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1</w:t>
            </w:r>
          </w:p>
        </w:tc>
        <w:tc>
          <w:tcPr>
            <w:tcW w:w="567" w:type="dxa"/>
            <w:tcBorders>
              <w:top w:val="nil"/>
              <w:left w:val="nil"/>
              <w:right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1</w:t>
            </w:r>
          </w:p>
        </w:tc>
        <w:tc>
          <w:tcPr>
            <w:tcW w:w="992" w:type="dxa"/>
            <w:tcBorders>
              <w:top w:val="single" w:sz="4" w:space="0" w:color="auto"/>
              <w:left w:val="single" w:sz="4" w:space="0" w:color="auto"/>
              <w:right w:val="single" w:sz="4" w:space="0" w:color="auto"/>
              <w:tl2br w:val="single" w:sz="4" w:space="0" w:color="auto"/>
              <w:tr2bl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 </w:t>
            </w:r>
          </w:p>
        </w:tc>
        <w:tc>
          <w:tcPr>
            <w:tcW w:w="567" w:type="dxa"/>
            <w:tcBorders>
              <w:top w:val="single" w:sz="4" w:space="0" w:color="auto"/>
              <w:left w:val="nil"/>
              <w:right w:val="single" w:sz="4" w:space="0" w:color="auto"/>
              <w:tl2br w:val="single" w:sz="4" w:space="0" w:color="auto"/>
              <w:tr2bl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 </w:t>
            </w:r>
          </w:p>
        </w:tc>
        <w:tc>
          <w:tcPr>
            <w:tcW w:w="567" w:type="dxa"/>
            <w:tcBorders>
              <w:top w:val="single" w:sz="4" w:space="0" w:color="auto"/>
              <w:left w:val="nil"/>
              <w:tl2br w:val="single" w:sz="4" w:space="0" w:color="auto"/>
              <w:tr2bl w:val="single" w:sz="4" w:space="0" w:color="auto"/>
            </w:tcBorders>
            <w:shd w:val="clear" w:color="000000" w:fill="FFFFFF"/>
            <w:vAlign w:val="center"/>
            <w:hideMark/>
          </w:tcPr>
          <w:p w:rsidR="006A2AD7" w:rsidRPr="00471F3A" w:rsidRDefault="006A2AD7" w:rsidP="006A2AD7">
            <w:pPr>
              <w:pStyle w:val="Nzev"/>
              <w:rPr>
                <w:rFonts w:cs="Arial"/>
                <w:szCs w:val="18"/>
              </w:rPr>
            </w:pPr>
            <w:r w:rsidRPr="00471F3A">
              <w:rPr>
                <w:rFonts w:cs="Arial"/>
                <w:szCs w:val="18"/>
              </w:rPr>
              <w:t> </w:t>
            </w:r>
          </w:p>
        </w:tc>
      </w:tr>
    </w:tbl>
    <w:p w:rsidR="006A2AD7" w:rsidRDefault="00AE5353" w:rsidP="006A2AD7">
      <w:pPr>
        <w:pStyle w:val="Bezmezer"/>
      </w:pPr>
      <w:r>
        <w:t>Obsahově stejná je situace i v</w:t>
      </w:r>
      <w:r w:rsidR="00A74023">
        <w:t> </w:t>
      </w:r>
      <w:r>
        <w:t>případě</w:t>
      </w:r>
      <w:r w:rsidR="00A74023">
        <w:t xml:space="preserve"> dalších tří oblastí. </w:t>
      </w:r>
      <w:r w:rsidR="00A74023" w:rsidRPr="00A74023">
        <w:rPr>
          <w:b/>
        </w:rPr>
        <w:t>Na všech třech úrovních je nejaktuálnější téma jazykového vzdělávání</w:t>
      </w:r>
      <w:r w:rsidR="00A74023">
        <w:t>, dále digitálních kompetencí a nakonec sociálních a občanských dovedností.</w:t>
      </w:r>
      <w:r w:rsidR="00E8117D">
        <w:t xml:space="preserve"> Co se současného stavu týká, je pořadí na všech třech úrovních přesně opačné. Nejdále je tedy realizace sociálních a občanských dovedností (rozpětí od 3,07 po 2,84), naopak nejméně propracované je vzdělávání cizích jazyků (2,33 až 2,24). </w:t>
      </w:r>
    </w:p>
    <w:p w:rsidR="00AE5353" w:rsidRDefault="00AE5353" w:rsidP="00AE5353">
      <w:pPr>
        <w:pStyle w:val="Nadpis5"/>
      </w:pPr>
      <w:r w:rsidRPr="006A2AD7">
        <w:t xml:space="preserve">Tabulka: </w:t>
      </w:r>
      <w:r>
        <w:t>Další</w:t>
      </w:r>
      <w:r w:rsidRPr="006A2AD7">
        <w:t xml:space="preserve"> oblasti podporované z</w:t>
      </w:r>
      <w:r>
        <w:t xml:space="preserve"> EU a jejich priority a stav z hlediska škol </w:t>
      </w:r>
    </w:p>
    <w:tbl>
      <w:tblPr>
        <w:tblW w:w="9224" w:type="dxa"/>
        <w:tblInd w:w="60" w:type="dxa"/>
        <w:tblLayout w:type="fixed"/>
        <w:tblCellMar>
          <w:left w:w="70" w:type="dxa"/>
          <w:right w:w="70" w:type="dxa"/>
        </w:tblCellMar>
        <w:tblLook w:val="04A0"/>
      </w:tblPr>
      <w:tblGrid>
        <w:gridCol w:w="4121"/>
        <w:gridCol w:w="992"/>
        <w:gridCol w:w="567"/>
        <w:gridCol w:w="709"/>
        <w:gridCol w:w="992"/>
        <w:gridCol w:w="851"/>
        <w:gridCol w:w="992"/>
      </w:tblGrid>
      <w:tr w:rsidR="00AE5353" w:rsidRPr="00AE5353" w:rsidTr="00560CBB">
        <w:trPr>
          <w:trHeight w:val="284"/>
        </w:trPr>
        <w:tc>
          <w:tcPr>
            <w:tcW w:w="4121" w:type="dxa"/>
            <w:vMerge w:val="restart"/>
            <w:tcBorders>
              <w:bottom w:val="double" w:sz="6" w:space="0" w:color="000000"/>
              <w:right w:val="double" w:sz="6" w:space="0" w:color="auto"/>
            </w:tcBorders>
            <w:shd w:val="clear" w:color="000000" w:fill="F4B082"/>
            <w:vAlign w:val="center"/>
            <w:hideMark/>
          </w:tcPr>
          <w:p w:rsidR="00AE5353" w:rsidRPr="00AE5353" w:rsidRDefault="00AE5353" w:rsidP="00AE5353">
            <w:pPr>
              <w:pStyle w:val="Nzev"/>
            </w:pPr>
          </w:p>
        </w:tc>
        <w:tc>
          <w:tcPr>
            <w:tcW w:w="2268" w:type="dxa"/>
            <w:gridSpan w:val="3"/>
            <w:tcBorders>
              <w:left w:val="nil"/>
              <w:bottom w:val="single" w:sz="4" w:space="0" w:color="auto"/>
              <w:right w:val="single" w:sz="8" w:space="0" w:color="000000"/>
            </w:tcBorders>
            <w:shd w:val="clear" w:color="000000" w:fill="F4B082"/>
            <w:noWrap/>
            <w:vAlign w:val="bottom"/>
            <w:hideMark/>
          </w:tcPr>
          <w:p w:rsidR="00AE5353" w:rsidRPr="00AE5353" w:rsidRDefault="00AE5353" w:rsidP="00AE5353">
            <w:pPr>
              <w:pStyle w:val="Nzev"/>
            </w:pPr>
            <w:r w:rsidRPr="00AE5353">
              <w:rPr>
                <w:szCs w:val="22"/>
              </w:rPr>
              <w:t>Pořadí podle potřeb škol</w:t>
            </w:r>
          </w:p>
        </w:tc>
        <w:tc>
          <w:tcPr>
            <w:tcW w:w="2835" w:type="dxa"/>
            <w:gridSpan w:val="3"/>
            <w:tcBorders>
              <w:left w:val="nil"/>
              <w:bottom w:val="single" w:sz="4" w:space="0" w:color="auto"/>
            </w:tcBorders>
            <w:shd w:val="clear" w:color="000000" w:fill="F4B082"/>
            <w:vAlign w:val="bottom"/>
            <w:hideMark/>
          </w:tcPr>
          <w:p w:rsidR="00AE5353" w:rsidRPr="00AE5353" w:rsidRDefault="00AE5353" w:rsidP="00AE5353">
            <w:pPr>
              <w:pStyle w:val="Nzev"/>
            </w:pPr>
            <w:proofErr w:type="spellStart"/>
            <w:r w:rsidRPr="00AE5353">
              <w:rPr>
                <w:szCs w:val="22"/>
              </w:rPr>
              <w:t>Prům</w:t>
            </w:r>
            <w:proofErr w:type="spellEnd"/>
            <w:r>
              <w:rPr>
                <w:szCs w:val="22"/>
              </w:rPr>
              <w:t>.</w:t>
            </w:r>
            <w:r w:rsidRPr="00AE5353">
              <w:rPr>
                <w:szCs w:val="22"/>
              </w:rPr>
              <w:t xml:space="preserve"> hodnocení </w:t>
            </w:r>
            <w:proofErr w:type="spellStart"/>
            <w:r w:rsidRPr="00AE5353">
              <w:rPr>
                <w:szCs w:val="22"/>
              </w:rPr>
              <w:t>aktuál</w:t>
            </w:r>
            <w:proofErr w:type="spellEnd"/>
            <w:r>
              <w:rPr>
                <w:szCs w:val="22"/>
              </w:rPr>
              <w:t>.</w:t>
            </w:r>
            <w:r w:rsidRPr="00AE5353">
              <w:rPr>
                <w:szCs w:val="22"/>
              </w:rPr>
              <w:t xml:space="preserve"> stavu</w:t>
            </w:r>
          </w:p>
        </w:tc>
      </w:tr>
      <w:tr w:rsidR="00AE5353" w:rsidRPr="00AE5353" w:rsidTr="00560CBB">
        <w:trPr>
          <w:trHeight w:val="284"/>
        </w:trPr>
        <w:tc>
          <w:tcPr>
            <w:tcW w:w="4121" w:type="dxa"/>
            <w:vMerge/>
            <w:tcBorders>
              <w:top w:val="single" w:sz="8" w:space="0" w:color="auto"/>
              <w:bottom w:val="double" w:sz="6" w:space="0" w:color="000000"/>
              <w:right w:val="double" w:sz="6" w:space="0" w:color="auto"/>
            </w:tcBorders>
            <w:vAlign w:val="center"/>
            <w:hideMark/>
          </w:tcPr>
          <w:p w:rsidR="00AE5353" w:rsidRPr="00AE5353" w:rsidRDefault="00AE5353" w:rsidP="00AE5353">
            <w:pPr>
              <w:pStyle w:val="Nzev"/>
            </w:pPr>
          </w:p>
        </w:tc>
        <w:tc>
          <w:tcPr>
            <w:tcW w:w="992" w:type="dxa"/>
            <w:tcBorders>
              <w:top w:val="nil"/>
              <w:left w:val="nil"/>
              <w:bottom w:val="double" w:sz="6" w:space="0" w:color="auto"/>
              <w:right w:val="single" w:sz="4" w:space="0" w:color="auto"/>
            </w:tcBorders>
            <w:shd w:val="clear" w:color="000000" w:fill="F4B082"/>
            <w:vAlign w:val="center"/>
            <w:hideMark/>
          </w:tcPr>
          <w:p w:rsidR="00AE5353" w:rsidRPr="00AE5353" w:rsidRDefault="00AE5353" w:rsidP="00AE5353">
            <w:pPr>
              <w:pStyle w:val="Nzev"/>
            </w:pPr>
            <w:r>
              <w:t>SO ORP</w:t>
            </w:r>
          </w:p>
        </w:tc>
        <w:tc>
          <w:tcPr>
            <w:tcW w:w="567" w:type="dxa"/>
            <w:tcBorders>
              <w:top w:val="nil"/>
              <w:left w:val="nil"/>
              <w:bottom w:val="double" w:sz="6" w:space="0" w:color="auto"/>
              <w:right w:val="single" w:sz="4" w:space="0" w:color="auto"/>
            </w:tcBorders>
            <w:shd w:val="clear" w:color="000000" w:fill="F4B082"/>
            <w:vAlign w:val="center"/>
            <w:hideMark/>
          </w:tcPr>
          <w:p w:rsidR="00AE5353" w:rsidRPr="00AE5353" w:rsidRDefault="00AE5353" w:rsidP="00AE5353">
            <w:pPr>
              <w:pStyle w:val="Nzev"/>
            </w:pPr>
            <w:r w:rsidRPr="00AE5353">
              <w:t>kraj</w:t>
            </w:r>
          </w:p>
        </w:tc>
        <w:tc>
          <w:tcPr>
            <w:tcW w:w="709" w:type="dxa"/>
            <w:tcBorders>
              <w:top w:val="nil"/>
              <w:left w:val="nil"/>
              <w:bottom w:val="double" w:sz="6" w:space="0" w:color="auto"/>
              <w:right w:val="single" w:sz="8" w:space="0" w:color="auto"/>
            </w:tcBorders>
            <w:shd w:val="clear" w:color="000000" w:fill="F4B082"/>
            <w:vAlign w:val="center"/>
            <w:hideMark/>
          </w:tcPr>
          <w:p w:rsidR="00AE5353" w:rsidRPr="00AE5353" w:rsidRDefault="00AE5353" w:rsidP="00AE5353">
            <w:pPr>
              <w:pStyle w:val="Nzev"/>
            </w:pPr>
            <w:r w:rsidRPr="00AE5353">
              <w:t xml:space="preserve">ČR </w:t>
            </w:r>
          </w:p>
        </w:tc>
        <w:tc>
          <w:tcPr>
            <w:tcW w:w="992" w:type="dxa"/>
            <w:tcBorders>
              <w:top w:val="nil"/>
              <w:left w:val="nil"/>
              <w:bottom w:val="double" w:sz="6" w:space="0" w:color="auto"/>
              <w:right w:val="single" w:sz="4" w:space="0" w:color="auto"/>
            </w:tcBorders>
            <w:shd w:val="clear" w:color="000000" w:fill="F4B082"/>
            <w:vAlign w:val="center"/>
            <w:hideMark/>
          </w:tcPr>
          <w:p w:rsidR="00AE5353" w:rsidRPr="00AE5353" w:rsidRDefault="00AE5353" w:rsidP="00AE5353">
            <w:pPr>
              <w:pStyle w:val="Nzev"/>
            </w:pPr>
            <w:r>
              <w:t>SO</w:t>
            </w:r>
            <w:r w:rsidRPr="00AE5353">
              <w:t xml:space="preserve"> ORP</w:t>
            </w:r>
          </w:p>
        </w:tc>
        <w:tc>
          <w:tcPr>
            <w:tcW w:w="851" w:type="dxa"/>
            <w:tcBorders>
              <w:top w:val="nil"/>
              <w:left w:val="nil"/>
              <w:bottom w:val="double" w:sz="6" w:space="0" w:color="auto"/>
              <w:right w:val="single" w:sz="4" w:space="0" w:color="auto"/>
            </w:tcBorders>
            <w:shd w:val="clear" w:color="000000" w:fill="F4B082"/>
            <w:vAlign w:val="center"/>
            <w:hideMark/>
          </w:tcPr>
          <w:p w:rsidR="00AE5353" w:rsidRPr="00AE5353" w:rsidRDefault="00AE5353" w:rsidP="00AE5353">
            <w:pPr>
              <w:pStyle w:val="Nzev"/>
            </w:pPr>
            <w:r w:rsidRPr="00AE5353">
              <w:t>kraj</w:t>
            </w:r>
          </w:p>
        </w:tc>
        <w:tc>
          <w:tcPr>
            <w:tcW w:w="992" w:type="dxa"/>
            <w:tcBorders>
              <w:top w:val="nil"/>
              <w:left w:val="nil"/>
              <w:bottom w:val="double" w:sz="6" w:space="0" w:color="auto"/>
            </w:tcBorders>
            <w:shd w:val="clear" w:color="000000" w:fill="F4B082"/>
            <w:vAlign w:val="center"/>
            <w:hideMark/>
          </w:tcPr>
          <w:p w:rsidR="00AE5353" w:rsidRPr="00AE5353" w:rsidRDefault="00AE5353" w:rsidP="00AE5353">
            <w:pPr>
              <w:pStyle w:val="Nzev"/>
            </w:pPr>
            <w:r w:rsidRPr="00AE5353">
              <w:t xml:space="preserve">ČR </w:t>
            </w:r>
          </w:p>
        </w:tc>
      </w:tr>
      <w:tr w:rsidR="00AE5353" w:rsidRPr="00AE5353" w:rsidTr="00560CBB">
        <w:trPr>
          <w:trHeight w:val="284"/>
        </w:trPr>
        <w:tc>
          <w:tcPr>
            <w:tcW w:w="4121" w:type="dxa"/>
            <w:tcBorders>
              <w:top w:val="nil"/>
              <w:bottom w:val="single" w:sz="4" w:space="0" w:color="auto"/>
              <w:right w:val="double" w:sz="6" w:space="0" w:color="auto"/>
            </w:tcBorders>
            <w:shd w:val="clear" w:color="auto" w:fill="auto"/>
            <w:vAlign w:val="center"/>
            <w:hideMark/>
          </w:tcPr>
          <w:p w:rsidR="00AE5353" w:rsidRPr="00AE5353" w:rsidRDefault="00AE5353" w:rsidP="00AE5353">
            <w:pPr>
              <w:pStyle w:val="Nzev"/>
              <w:jc w:val="left"/>
            </w:pPr>
            <w:r w:rsidRPr="00AE5353">
              <w:t xml:space="preserve">Jazykové vzdělávání </w:t>
            </w:r>
          </w:p>
        </w:tc>
        <w:tc>
          <w:tcPr>
            <w:tcW w:w="992"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1</w:t>
            </w:r>
          </w:p>
        </w:tc>
        <w:tc>
          <w:tcPr>
            <w:tcW w:w="567"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1</w:t>
            </w:r>
          </w:p>
        </w:tc>
        <w:tc>
          <w:tcPr>
            <w:tcW w:w="709" w:type="dxa"/>
            <w:tcBorders>
              <w:top w:val="nil"/>
              <w:left w:val="nil"/>
              <w:bottom w:val="single" w:sz="4" w:space="0" w:color="auto"/>
              <w:right w:val="single" w:sz="8" w:space="0" w:color="auto"/>
            </w:tcBorders>
            <w:shd w:val="clear" w:color="000000" w:fill="FFFFFF"/>
            <w:vAlign w:val="center"/>
            <w:hideMark/>
          </w:tcPr>
          <w:p w:rsidR="00AE5353" w:rsidRPr="00AE5353" w:rsidRDefault="00AE5353" w:rsidP="00AE5353">
            <w:pPr>
              <w:pStyle w:val="Nzev"/>
            </w:pPr>
            <w:r w:rsidRPr="00AE5353">
              <w:t>1</w:t>
            </w:r>
          </w:p>
        </w:tc>
        <w:tc>
          <w:tcPr>
            <w:tcW w:w="992"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2,33</w:t>
            </w:r>
          </w:p>
        </w:tc>
        <w:tc>
          <w:tcPr>
            <w:tcW w:w="851"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2,23</w:t>
            </w:r>
          </w:p>
        </w:tc>
        <w:tc>
          <w:tcPr>
            <w:tcW w:w="992" w:type="dxa"/>
            <w:tcBorders>
              <w:top w:val="nil"/>
              <w:left w:val="nil"/>
              <w:bottom w:val="single" w:sz="4" w:space="0" w:color="auto"/>
            </w:tcBorders>
            <w:shd w:val="clear" w:color="000000" w:fill="FFFFFF"/>
            <w:vAlign w:val="center"/>
            <w:hideMark/>
          </w:tcPr>
          <w:p w:rsidR="00AE5353" w:rsidRPr="00AE5353" w:rsidRDefault="00AE5353" w:rsidP="00AE5353">
            <w:pPr>
              <w:pStyle w:val="Nzev"/>
            </w:pPr>
            <w:r w:rsidRPr="00AE5353">
              <w:t>2,24</w:t>
            </w:r>
          </w:p>
        </w:tc>
      </w:tr>
      <w:tr w:rsidR="00AE5353" w:rsidRPr="00AE5353" w:rsidTr="00560CBB">
        <w:trPr>
          <w:trHeight w:val="284"/>
        </w:trPr>
        <w:tc>
          <w:tcPr>
            <w:tcW w:w="4121" w:type="dxa"/>
            <w:tcBorders>
              <w:top w:val="nil"/>
              <w:bottom w:val="single" w:sz="4" w:space="0" w:color="auto"/>
              <w:right w:val="double" w:sz="6" w:space="0" w:color="auto"/>
            </w:tcBorders>
            <w:shd w:val="clear" w:color="auto" w:fill="auto"/>
            <w:vAlign w:val="center"/>
            <w:hideMark/>
          </w:tcPr>
          <w:p w:rsidR="00AE5353" w:rsidRPr="00AE5353" w:rsidRDefault="00AE5353" w:rsidP="00AE5353">
            <w:pPr>
              <w:pStyle w:val="Nzev"/>
              <w:jc w:val="left"/>
            </w:pPr>
            <w:r w:rsidRPr="00AE5353">
              <w:t>ICT včetně potřeb infrastruktury (podpora digitálních kompetencí, konektivita škol)</w:t>
            </w:r>
          </w:p>
        </w:tc>
        <w:tc>
          <w:tcPr>
            <w:tcW w:w="992"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2</w:t>
            </w:r>
          </w:p>
        </w:tc>
        <w:tc>
          <w:tcPr>
            <w:tcW w:w="567"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2</w:t>
            </w:r>
          </w:p>
        </w:tc>
        <w:tc>
          <w:tcPr>
            <w:tcW w:w="709" w:type="dxa"/>
            <w:tcBorders>
              <w:top w:val="nil"/>
              <w:left w:val="nil"/>
              <w:bottom w:val="single" w:sz="4" w:space="0" w:color="auto"/>
              <w:right w:val="single" w:sz="8" w:space="0" w:color="auto"/>
            </w:tcBorders>
            <w:shd w:val="clear" w:color="000000" w:fill="FFFFFF"/>
            <w:vAlign w:val="center"/>
            <w:hideMark/>
          </w:tcPr>
          <w:p w:rsidR="00AE5353" w:rsidRPr="00AE5353" w:rsidRDefault="00AE5353" w:rsidP="00AE5353">
            <w:pPr>
              <w:pStyle w:val="Nzev"/>
            </w:pPr>
            <w:r w:rsidRPr="00AE5353">
              <w:t>2</w:t>
            </w:r>
          </w:p>
        </w:tc>
        <w:tc>
          <w:tcPr>
            <w:tcW w:w="992"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2,65</w:t>
            </w:r>
          </w:p>
        </w:tc>
        <w:tc>
          <w:tcPr>
            <w:tcW w:w="851" w:type="dxa"/>
            <w:tcBorders>
              <w:top w:val="nil"/>
              <w:left w:val="nil"/>
              <w:bottom w:val="single" w:sz="4" w:space="0" w:color="auto"/>
              <w:right w:val="single" w:sz="4" w:space="0" w:color="auto"/>
            </w:tcBorders>
            <w:shd w:val="clear" w:color="000000" w:fill="FFFFFF"/>
            <w:vAlign w:val="center"/>
            <w:hideMark/>
          </w:tcPr>
          <w:p w:rsidR="00AE5353" w:rsidRPr="00AE5353" w:rsidRDefault="00AE5353" w:rsidP="00AE5353">
            <w:pPr>
              <w:pStyle w:val="Nzev"/>
            </w:pPr>
            <w:r w:rsidRPr="00AE5353">
              <w:t>2,48</w:t>
            </w:r>
          </w:p>
        </w:tc>
        <w:tc>
          <w:tcPr>
            <w:tcW w:w="992" w:type="dxa"/>
            <w:tcBorders>
              <w:top w:val="nil"/>
              <w:left w:val="nil"/>
              <w:bottom w:val="single" w:sz="4" w:space="0" w:color="auto"/>
            </w:tcBorders>
            <w:shd w:val="clear" w:color="000000" w:fill="FFFFFF"/>
            <w:vAlign w:val="center"/>
            <w:hideMark/>
          </w:tcPr>
          <w:p w:rsidR="00AE5353" w:rsidRPr="00AE5353" w:rsidRDefault="00AE5353" w:rsidP="00AE5353">
            <w:pPr>
              <w:pStyle w:val="Nzev"/>
            </w:pPr>
            <w:r w:rsidRPr="00AE5353">
              <w:t>2,46</w:t>
            </w:r>
          </w:p>
        </w:tc>
      </w:tr>
      <w:tr w:rsidR="00AE5353" w:rsidRPr="00AE5353" w:rsidTr="00560CBB">
        <w:trPr>
          <w:trHeight w:val="284"/>
        </w:trPr>
        <w:tc>
          <w:tcPr>
            <w:tcW w:w="4121" w:type="dxa"/>
            <w:tcBorders>
              <w:top w:val="nil"/>
              <w:right w:val="double" w:sz="6" w:space="0" w:color="auto"/>
            </w:tcBorders>
            <w:shd w:val="clear" w:color="auto" w:fill="auto"/>
            <w:vAlign w:val="center"/>
            <w:hideMark/>
          </w:tcPr>
          <w:p w:rsidR="00AE5353" w:rsidRPr="00AE5353" w:rsidRDefault="00AE5353" w:rsidP="00AE5353">
            <w:pPr>
              <w:pStyle w:val="Nzev"/>
              <w:jc w:val="left"/>
            </w:pPr>
            <w:r w:rsidRPr="00AE5353">
              <w:t xml:space="preserve">Sociální a občanské dovednosti a další klíčové kompetence </w:t>
            </w:r>
          </w:p>
        </w:tc>
        <w:tc>
          <w:tcPr>
            <w:tcW w:w="992" w:type="dxa"/>
            <w:tcBorders>
              <w:top w:val="nil"/>
              <w:left w:val="nil"/>
              <w:right w:val="single" w:sz="4" w:space="0" w:color="auto"/>
            </w:tcBorders>
            <w:shd w:val="clear" w:color="000000" w:fill="FFFFFF"/>
            <w:vAlign w:val="center"/>
            <w:hideMark/>
          </w:tcPr>
          <w:p w:rsidR="00AE5353" w:rsidRPr="00AE5353" w:rsidRDefault="00AE5353" w:rsidP="00AE5353">
            <w:pPr>
              <w:pStyle w:val="Nzev"/>
            </w:pPr>
            <w:r w:rsidRPr="00AE5353">
              <w:t>3</w:t>
            </w:r>
          </w:p>
        </w:tc>
        <w:tc>
          <w:tcPr>
            <w:tcW w:w="567" w:type="dxa"/>
            <w:tcBorders>
              <w:top w:val="nil"/>
              <w:left w:val="nil"/>
              <w:right w:val="single" w:sz="4" w:space="0" w:color="auto"/>
            </w:tcBorders>
            <w:shd w:val="clear" w:color="000000" w:fill="FFFFFF"/>
            <w:vAlign w:val="center"/>
            <w:hideMark/>
          </w:tcPr>
          <w:p w:rsidR="00AE5353" w:rsidRPr="00AE5353" w:rsidRDefault="00AE5353" w:rsidP="00AE5353">
            <w:pPr>
              <w:pStyle w:val="Nzev"/>
            </w:pPr>
            <w:r w:rsidRPr="00AE5353">
              <w:t>3</w:t>
            </w:r>
          </w:p>
        </w:tc>
        <w:tc>
          <w:tcPr>
            <w:tcW w:w="709" w:type="dxa"/>
            <w:tcBorders>
              <w:top w:val="nil"/>
              <w:left w:val="nil"/>
              <w:right w:val="single" w:sz="8" w:space="0" w:color="auto"/>
            </w:tcBorders>
            <w:shd w:val="clear" w:color="000000" w:fill="FFFFFF"/>
            <w:vAlign w:val="center"/>
            <w:hideMark/>
          </w:tcPr>
          <w:p w:rsidR="00AE5353" w:rsidRPr="00AE5353" w:rsidRDefault="00AE5353" w:rsidP="00AE5353">
            <w:pPr>
              <w:pStyle w:val="Nzev"/>
            </w:pPr>
            <w:r w:rsidRPr="00AE5353">
              <w:t>3</w:t>
            </w:r>
          </w:p>
        </w:tc>
        <w:tc>
          <w:tcPr>
            <w:tcW w:w="992" w:type="dxa"/>
            <w:tcBorders>
              <w:top w:val="nil"/>
              <w:left w:val="nil"/>
              <w:right w:val="single" w:sz="4" w:space="0" w:color="auto"/>
            </w:tcBorders>
            <w:shd w:val="clear" w:color="000000" w:fill="FFFFFF"/>
            <w:vAlign w:val="center"/>
            <w:hideMark/>
          </w:tcPr>
          <w:p w:rsidR="00AE5353" w:rsidRPr="00AE5353" w:rsidRDefault="00AE5353" w:rsidP="00AE5353">
            <w:pPr>
              <w:pStyle w:val="Nzev"/>
            </w:pPr>
            <w:r w:rsidRPr="00AE5353">
              <w:t>3,07</w:t>
            </w:r>
          </w:p>
        </w:tc>
        <w:tc>
          <w:tcPr>
            <w:tcW w:w="851" w:type="dxa"/>
            <w:tcBorders>
              <w:top w:val="nil"/>
              <w:left w:val="nil"/>
              <w:right w:val="single" w:sz="4" w:space="0" w:color="auto"/>
            </w:tcBorders>
            <w:shd w:val="clear" w:color="000000" w:fill="FFFFFF"/>
            <w:vAlign w:val="center"/>
            <w:hideMark/>
          </w:tcPr>
          <w:p w:rsidR="00AE5353" w:rsidRPr="00AE5353" w:rsidRDefault="00AE5353" w:rsidP="00AE5353">
            <w:pPr>
              <w:pStyle w:val="Nzev"/>
            </w:pPr>
            <w:r w:rsidRPr="00AE5353">
              <w:t>2,87</w:t>
            </w:r>
          </w:p>
        </w:tc>
        <w:tc>
          <w:tcPr>
            <w:tcW w:w="992" w:type="dxa"/>
            <w:tcBorders>
              <w:top w:val="nil"/>
              <w:left w:val="nil"/>
            </w:tcBorders>
            <w:shd w:val="clear" w:color="000000" w:fill="FFFFFF"/>
            <w:vAlign w:val="center"/>
            <w:hideMark/>
          </w:tcPr>
          <w:p w:rsidR="00AE5353" w:rsidRPr="00AE5353" w:rsidRDefault="00AE5353" w:rsidP="00AE5353">
            <w:pPr>
              <w:pStyle w:val="Nzev"/>
            </w:pPr>
            <w:r w:rsidRPr="00AE5353">
              <w:t>2,84</w:t>
            </w:r>
          </w:p>
        </w:tc>
      </w:tr>
    </w:tbl>
    <w:p w:rsidR="00AE5353" w:rsidRPr="006A2AD7" w:rsidRDefault="00CB4C5B" w:rsidP="00836055">
      <w:pPr>
        <w:pStyle w:val="Nadpis4"/>
      </w:pPr>
      <w:bookmarkStart w:id="20" w:name="_Toc465592568"/>
      <w:r>
        <w:t>Detailnější rozbor jednotlivých oblastí rozvoje</w:t>
      </w:r>
      <w:bookmarkEnd w:id="20"/>
    </w:p>
    <w:p w:rsidR="00830D2A" w:rsidRDefault="00830D2A" w:rsidP="00830D2A">
      <w:pPr>
        <w:pStyle w:val="Bezmezer"/>
      </w:pPr>
      <w:r w:rsidRPr="00830D2A">
        <w:t xml:space="preserve">V následujících </w:t>
      </w:r>
      <w:r w:rsidR="004A7F06">
        <w:t xml:space="preserve">devíti </w:t>
      </w:r>
      <w:r w:rsidRPr="00830D2A">
        <w:t xml:space="preserve">podkapitolách </w:t>
      </w:r>
      <w:r>
        <w:t xml:space="preserve">budou podrobněji rozepsány </w:t>
      </w:r>
      <w:r w:rsidR="004A7F06">
        <w:t xml:space="preserve">jednotlivé oblasti rozvoje tak, jak je </w:t>
      </w:r>
      <w:r w:rsidR="00415C21">
        <w:t xml:space="preserve">konkrétně </w:t>
      </w:r>
      <w:r w:rsidR="004A7F06">
        <w:t>hodnotily ZŠ. Hodnocení každé oblasti mělo obdobnou formu, proto ji popíšeme na začátku pro vše</w:t>
      </w:r>
      <w:r w:rsidR="000B20A4">
        <w:t xml:space="preserve">chny </w:t>
      </w:r>
      <w:r w:rsidR="00850FF8">
        <w:t xml:space="preserve">nadcházející </w:t>
      </w:r>
      <w:r w:rsidR="004A7F06">
        <w:t>případ</w:t>
      </w:r>
      <w:r w:rsidR="000B20A4">
        <w:t>y</w:t>
      </w:r>
      <w:r w:rsidR="004A7F06">
        <w:t>.</w:t>
      </w:r>
    </w:p>
    <w:p w:rsidR="00850FF8" w:rsidRDefault="00260C08" w:rsidP="00830D2A">
      <w:pPr>
        <w:pStyle w:val="Bezmezer"/>
      </w:pPr>
      <w:r>
        <w:t xml:space="preserve">Stejně jako v předchozích tabulkách, i zde tvoří </w:t>
      </w:r>
      <w:r w:rsidRPr="00260C08">
        <w:rPr>
          <w:b/>
        </w:rPr>
        <w:t>první sloupec samotné téma</w:t>
      </w:r>
      <w:r w:rsidR="002C1375">
        <w:rPr>
          <w:b/>
        </w:rPr>
        <w:t>/ situac</w:t>
      </w:r>
      <w:r w:rsidR="00A23D88">
        <w:rPr>
          <w:b/>
        </w:rPr>
        <w:t>i</w:t>
      </w:r>
      <w:r>
        <w:t xml:space="preserve">, ke kterému se jednotlivé ZŠ vyjadřovaly, </w:t>
      </w:r>
      <w:r w:rsidRPr="00260C08">
        <w:rPr>
          <w:b/>
        </w:rPr>
        <w:t xml:space="preserve">další dva sloupce vyjadřují </w:t>
      </w:r>
      <w:r w:rsidR="00FB7D8D">
        <w:rPr>
          <w:b/>
        </w:rPr>
        <w:t>míru</w:t>
      </w:r>
      <w:r w:rsidRPr="00260C08">
        <w:rPr>
          <w:b/>
        </w:rPr>
        <w:t xml:space="preserve"> priority daného tématu</w:t>
      </w:r>
      <w:r>
        <w:t xml:space="preserve"> v daném období (jedná se o vyjádření podílem, tedy procentuální zastoupení ZŠ</w:t>
      </w:r>
      <w:r w:rsidR="00421B20">
        <w:t xml:space="preserve"> z celkového počtu</w:t>
      </w:r>
      <w:r>
        <w:t xml:space="preserve">, které plánují v daném tématu zlepšení) a </w:t>
      </w:r>
      <w:r w:rsidR="001D025D">
        <w:rPr>
          <w:b/>
        </w:rPr>
        <w:t xml:space="preserve">poslední tři sloupce zobrazují </w:t>
      </w:r>
      <w:r w:rsidRPr="00260C08">
        <w:rPr>
          <w:b/>
        </w:rPr>
        <w:t xml:space="preserve">průměr hodnocení aktuálního stavu </w:t>
      </w:r>
      <w:r>
        <w:rPr>
          <w:b/>
        </w:rPr>
        <w:t>na</w:t>
      </w:r>
      <w:r w:rsidRPr="00260C08">
        <w:rPr>
          <w:b/>
        </w:rPr>
        <w:t xml:space="preserve"> třech administrativních </w:t>
      </w:r>
      <w:r>
        <w:rPr>
          <w:b/>
        </w:rPr>
        <w:t>úrovních</w:t>
      </w:r>
      <w:r>
        <w:t xml:space="preserve"> (ORP, kraj, stát)</w:t>
      </w:r>
      <w:r w:rsidR="00421B20">
        <w:t xml:space="preserve">, přičemž se opět pracuje se škálou </w:t>
      </w:r>
      <w:r w:rsidR="00421B20" w:rsidRPr="00421B20">
        <w:t xml:space="preserve">od jedné do čtyř, </w:t>
      </w:r>
      <w:r w:rsidR="00250254">
        <w:t>kdy</w:t>
      </w:r>
      <w:r w:rsidR="00421B20" w:rsidRPr="00421B20">
        <w:t xml:space="preserve"> hodnota 1 znamená „vůbec se neuplatňuje, tzn. maximálně stádium prvotních úvah“ a hodnota 4 naopak „ideální stav, tzn. vytvořené podmínky, funkční systém“.</w:t>
      </w:r>
    </w:p>
    <w:p w:rsidR="002C1375" w:rsidRDefault="00A23D88" w:rsidP="00830D2A">
      <w:pPr>
        <w:pStyle w:val="Bezmezer"/>
      </w:pPr>
      <w:r w:rsidRPr="008526B1">
        <w:rPr>
          <w:b/>
        </w:rPr>
        <w:lastRenderedPageBreak/>
        <w:t>Zeleně</w:t>
      </w:r>
      <w:r>
        <w:t xml:space="preserve"> jsou v případě druhého a třetího sloupce zvýrazněny </w:t>
      </w:r>
      <w:r w:rsidRPr="008526B1">
        <w:rPr>
          <w:b/>
        </w:rPr>
        <w:t>nejvyšší hodnoty</w:t>
      </w:r>
      <w:r w:rsidR="00390D55">
        <w:t xml:space="preserve">, tedy položky, které školy plánují nejčastěji zlepšovat. </w:t>
      </w:r>
      <w:r w:rsidR="00390D55" w:rsidRPr="008526B1">
        <w:rPr>
          <w:b/>
        </w:rPr>
        <w:t>Č</w:t>
      </w:r>
      <w:r w:rsidRPr="008526B1">
        <w:rPr>
          <w:b/>
        </w:rPr>
        <w:t>erveně</w:t>
      </w:r>
      <w:r>
        <w:t xml:space="preserve"> </w:t>
      </w:r>
      <w:r w:rsidR="00390D55">
        <w:t>pak</w:t>
      </w:r>
      <w:r>
        <w:t xml:space="preserve"> hodnoty</w:t>
      </w:r>
      <w:r w:rsidR="00390D55">
        <w:t xml:space="preserve"> za SO ORP</w:t>
      </w:r>
      <w:r w:rsidR="00390D55" w:rsidRPr="00390D55">
        <w:t xml:space="preserve"> </w:t>
      </w:r>
      <w:r w:rsidR="00390D55">
        <w:t xml:space="preserve">ve sloupci čtvrtém, které jsou </w:t>
      </w:r>
      <w:r w:rsidR="00390D55" w:rsidRPr="008526B1">
        <w:rPr>
          <w:b/>
        </w:rPr>
        <w:t>nižší než celorepublikový průměr</w:t>
      </w:r>
      <w:r>
        <w:t>.</w:t>
      </w:r>
    </w:p>
    <w:p w:rsidR="005952A8" w:rsidRPr="00830D2A" w:rsidRDefault="005952A8" w:rsidP="00830D2A">
      <w:pPr>
        <w:pStyle w:val="Bezmezer"/>
      </w:pPr>
      <w:r>
        <w:t>Generálně by měla platit korelace</w:t>
      </w:r>
      <w:r w:rsidR="007C7F54">
        <w:t xml:space="preserve"> (zejména v prioritních oblastech)</w:t>
      </w:r>
      <w:r w:rsidR="0041744F">
        <w:t xml:space="preserve">, že nízká procentuální hodnota v obou daných obdobích (2016 – 2018 a 2019 – 2020) </w:t>
      </w:r>
      <w:r w:rsidR="00C43659">
        <w:t>vyvolá vysokou hodnotu ve sloupci „SO ORP“</w:t>
      </w:r>
      <w:r w:rsidR="00875B5D">
        <w:t xml:space="preserve"> a opačně</w:t>
      </w:r>
      <w:r w:rsidR="00C43659">
        <w:t>. Jinými slovy pokud školy necítí potřebu v následujících čtyřech letech zlepšovat dané téma, je toto téma na dobré úrovni, což se projeví jeho vysokým ohodnocením současného stavu</w:t>
      </w:r>
      <w:r w:rsidR="00875B5D">
        <w:t xml:space="preserve"> a opačně</w:t>
      </w:r>
      <w:r w:rsidR="00C43659">
        <w:t xml:space="preserve">. </w:t>
      </w:r>
      <w:r w:rsidR="009556BE">
        <w:t xml:space="preserve">Možná je samozřejmě i varianta, že úroveň tématu je nízká a školy i tak nebudou preferovat jeho řešení v nadcházejících čtyřech letech a to z toho důvodu, že nejde o téma prioritní. </w:t>
      </w:r>
    </w:p>
    <w:p w:rsidR="009D1458" w:rsidRPr="009D1458" w:rsidRDefault="009D1458" w:rsidP="009D1458">
      <w:pPr>
        <w:pStyle w:val="Bezmezer"/>
        <w:rPr>
          <w:u w:val="single"/>
        </w:rPr>
      </w:pPr>
      <w:r w:rsidRPr="009D1458">
        <w:rPr>
          <w:u w:val="single"/>
        </w:rPr>
        <w:t>Podpora inkluzivního/ společného vzdělávání</w:t>
      </w:r>
    </w:p>
    <w:p w:rsidR="00875B5D" w:rsidRDefault="00E853F6" w:rsidP="009D1458">
      <w:pPr>
        <w:pStyle w:val="Bezmezer"/>
      </w:pPr>
      <w:r>
        <w:t xml:space="preserve">V rámci </w:t>
      </w:r>
      <w:r w:rsidR="00B54899">
        <w:t>oblasti</w:t>
      </w:r>
      <w:r>
        <w:t xml:space="preserve"> inkluzivního vzdělávání hodnotily</w:t>
      </w:r>
      <w:r w:rsidR="00504E1F" w:rsidRPr="00504E1F">
        <w:t xml:space="preserve"> </w:t>
      </w:r>
      <w:r w:rsidR="00504E1F">
        <w:t>ZŠ</w:t>
      </w:r>
      <w:r>
        <w:t xml:space="preserve"> devatenáct </w:t>
      </w:r>
      <w:r w:rsidR="005D22FB">
        <w:t xml:space="preserve">modelových </w:t>
      </w:r>
      <w:r w:rsidR="002C1375">
        <w:t xml:space="preserve">situací, jejich prioritu </w:t>
      </w:r>
      <w:r w:rsidR="00FF3184">
        <w:t xml:space="preserve">v nadcházejících letech </w:t>
      </w:r>
      <w:r w:rsidR="002C1375">
        <w:t xml:space="preserve">v rámci chodu školy a </w:t>
      </w:r>
      <w:r w:rsidR="00FF3184">
        <w:t>rovněž</w:t>
      </w:r>
      <w:r w:rsidR="002C1375">
        <w:t xml:space="preserve"> </w:t>
      </w:r>
      <w:r w:rsidR="00FF3184">
        <w:t xml:space="preserve">jejich </w:t>
      </w:r>
      <w:r w:rsidR="002C1375">
        <w:t>současn</w:t>
      </w:r>
      <w:r w:rsidR="00FF3184">
        <w:t>ou</w:t>
      </w:r>
      <w:r w:rsidR="002C1375">
        <w:t xml:space="preserve"> situac</w:t>
      </w:r>
      <w:r w:rsidR="00FF3184">
        <w:t>i</w:t>
      </w:r>
      <w:r w:rsidR="002C1375">
        <w:t>.</w:t>
      </w:r>
      <w:r w:rsidR="008526B1">
        <w:t xml:space="preserve"> </w:t>
      </w:r>
    </w:p>
    <w:p w:rsidR="009D1458" w:rsidRDefault="00935911" w:rsidP="009D1458">
      <w:pPr>
        <w:pStyle w:val="Bezmezer"/>
      </w:pPr>
      <w:r>
        <w:t>P</w:t>
      </w:r>
      <w:r w:rsidR="008526B1">
        <w:t xml:space="preserve">odstatným momentem, který </w:t>
      </w:r>
      <w:r>
        <w:t xml:space="preserve">se vyskytoval již v případě MŠ, a </w:t>
      </w:r>
      <w:r w:rsidR="008526B1">
        <w:t xml:space="preserve">bude </w:t>
      </w:r>
      <w:r>
        <w:t xml:space="preserve">se </w:t>
      </w:r>
      <w:r w:rsidR="008526B1">
        <w:t xml:space="preserve">opakovat </w:t>
      </w:r>
      <w:r>
        <w:t xml:space="preserve">ve všech </w:t>
      </w:r>
      <w:r w:rsidR="00B54899">
        <w:t>oblastech</w:t>
      </w:r>
      <w:r>
        <w:t xml:space="preserve"> i zde</w:t>
      </w:r>
      <w:r w:rsidR="008526B1">
        <w:t xml:space="preserve">, je </w:t>
      </w:r>
      <w:r w:rsidR="008526B1" w:rsidRPr="009A0273">
        <w:rPr>
          <w:b/>
        </w:rPr>
        <w:t>dominance plánů ZŠ na první období, tedy roky 2016 – 2018</w:t>
      </w:r>
      <w:r w:rsidR="008526B1">
        <w:t>. To je nejspíše způsobeno naléhavostí problémů, které je třeba řešit, ale roli může hrát rovněž fakt, že si ZŠ byly vědomi tlaku, který tím vyvolají na instituce rozhodující o podobě dotací.</w:t>
      </w:r>
      <w:r w:rsidR="00756D8D">
        <w:t xml:space="preserve"> Možná je i varianta absence dlouhodobější koncepce a „lepení“ těch nejaktuálnějších problémů.</w:t>
      </w:r>
    </w:p>
    <w:p w:rsidR="00756D8D" w:rsidRDefault="004262BE" w:rsidP="009D1458">
      <w:pPr>
        <w:pStyle w:val="Bezmezer"/>
      </w:pPr>
      <w:r>
        <w:t xml:space="preserve">Pokud se blíže podíváme na nejčastěji zmiňovaná témata, která </w:t>
      </w:r>
      <w:r w:rsidR="00CC48FF">
        <w:t>by</w:t>
      </w:r>
      <w:r>
        <w:t xml:space="preserve"> škol</w:t>
      </w:r>
      <w:r w:rsidR="00CC48FF">
        <w:t>y</w:t>
      </w:r>
      <w:r>
        <w:t xml:space="preserve"> v letech 2016 až 2018 </w:t>
      </w:r>
      <w:r w:rsidR="00CC48FF">
        <w:t>rády zlepšily</w:t>
      </w:r>
      <w:r>
        <w:t xml:space="preserve">, </w:t>
      </w:r>
      <w:r w:rsidR="00117ADD">
        <w:t xml:space="preserve">je patrné, že velký </w:t>
      </w:r>
      <w:r w:rsidR="00117ADD" w:rsidRPr="00117ADD">
        <w:rPr>
          <w:b/>
        </w:rPr>
        <w:t>důraz je kladen na přímé mezilidské vztahy</w:t>
      </w:r>
      <w:r>
        <w:t>:</w:t>
      </w:r>
    </w:p>
    <w:p w:rsidR="004262BE" w:rsidRDefault="004262BE" w:rsidP="004262BE">
      <w:pPr>
        <w:pStyle w:val="Nzev"/>
        <w:numPr>
          <w:ilvl w:val="0"/>
          <w:numId w:val="32"/>
        </w:numPr>
        <w:rPr>
          <w:rFonts w:eastAsia="Times New Roman"/>
          <w:lang w:eastAsia="cs-CZ"/>
        </w:rPr>
      </w:pPr>
      <w:r w:rsidRPr="00E604D9">
        <w:rPr>
          <w:rFonts w:eastAsia="Times New Roman"/>
          <w:lang w:eastAsia="cs-CZ"/>
        </w:rPr>
        <w:t>Škola klade důraz nejen na budování vlastního úspěchu žáka, ale i na odbo</w:t>
      </w:r>
      <w:r>
        <w:rPr>
          <w:rFonts w:eastAsia="Times New Roman"/>
          <w:lang w:eastAsia="cs-CZ"/>
        </w:rPr>
        <w:t xml:space="preserve">urávání bariér mezi lidmi, vede </w:t>
      </w:r>
      <w:r w:rsidRPr="00E604D9">
        <w:rPr>
          <w:rFonts w:eastAsia="Times New Roman"/>
          <w:lang w:eastAsia="cs-CZ"/>
        </w:rPr>
        <w:t>k sounáležitosti se spolužáky a dalšími lidmi apod.</w:t>
      </w:r>
      <w:r>
        <w:rPr>
          <w:rFonts w:eastAsia="Times New Roman"/>
          <w:lang w:eastAsia="cs-CZ"/>
        </w:rPr>
        <w:t xml:space="preserve"> (8</w:t>
      </w:r>
      <w:r w:rsidR="00214A0E">
        <w:rPr>
          <w:rFonts w:eastAsia="Times New Roman"/>
          <w:lang w:eastAsia="cs-CZ"/>
        </w:rPr>
        <w:t>4</w:t>
      </w:r>
      <w:r>
        <w:rPr>
          <w:rFonts w:eastAsia="Times New Roman"/>
          <w:lang w:eastAsia="cs-CZ"/>
        </w:rPr>
        <w:t>,</w:t>
      </w:r>
      <w:r w:rsidR="00214A0E">
        <w:rPr>
          <w:rFonts w:eastAsia="Times New Roman"/>
          <w:lang w:eastAsia="cs-CZ"/>
        </w:rPr>
        <w:t>2</w:t>
      </w:r>
      <w:r>
        <w:rPr>
          <w:rFonts w:eastAsia="Times New Roman"/>
          <w:lang w:eastAsia="cs-CZ"/>
        </w:rPr>
        <w:t xml:space="preserve"> %)</w:t>
      </w:r>
    </w:p>
    <w:p w:rsidR="004262BE" w:rsidRDefault="004262BE" w:rsidP="004262BE">
      <w:pPr>
        <w:pStyle w:val="Nzev"/>
        <w:numPr>
          <w:ilvl w:val="0"/>
          <w:numId w:val="32"/>
        </w:numPr>
        <w:rPr>
          <w:rFonts w:eastAsia="Times New Roman"/>
          <w:lang w:eastAsia="cs-CZ"/>
        </w:rPr>
      </w:pPr>
      <w:r w:rsidRPr="00E604D9">
        <w:rPr>
          <w:rFonts w:eastAsia="Times New Roman"/>
          <w:lang w:eastAsia="cs-CZ"/>
        </w:rPr>
        <w:t>Učitelé vnímají tvořivým způsobem rozdíly mezi žáky jako zdroj zkušeností a příležitost k vlastnímu seberozvoji</w:t>
      </w:r>
      <w:r>
        <w:rPr>
          <w:rFonts w:eastAsia="Times New Roman"/>
          <w:lang w:eastAsia="cs-CZ"/>
        </w:rPr>
        <w:t xml:space="preserve"> (78,9 %)</w:t>
      </w:r>
    </w:p>
    <w:p w:rsidR="004262BE" w:rsidRDefault="004262BE" w:rsidP="004262BE">
      <w:pPr>
        <w:pStyle w:val="Nzev"/>
        <w:numPr>
          <w:ilvl w:val="0"/>
          <w:numId w:val="32"/>
        </w:numPr>
        <w:rPr>
          <w:rFonts w:eastAsia="Times New Roman"/>
          <w:lang w:eastAsia="cs-CZ"/>
        </w:rPr>
      </w:pPr>
      <w:r w:rsidRPr="00E604D9">
        <w:rPr>
          <w:rFonts w:eastAsia="Times New Roman"/>
          <w:lang w:eastAsia="cs-CZ"/>
        </w:rPr>
        <w:t>Škola učí všechny žáky uvědomovat si práva a povinnosti (vina, trest, spravedlnost, Úmluva o právech dítěte apod.)</w:t>
      </w:r>
      <w:r>
        <w:rPr>
          <w:rFonts w:eastAsia="Times New Roman"/>
          <w:lang w:eastAsia="cs-CZ"/>
        </w:rPr>
        <w:t xml:space="preserve"> (78,9 %)</w:t>
      </w:r>
    </w:p>
    <w:p w:rsidR="004262BE" w:rsidRDefault="004262BE" w:rsidP="004262BE">
      <w:pPr>
        <w:pStyle w:val="Nzev"/>
        <w:numPr>
          <w:ilvl w:val="0"/>
          <w:numId w:val="32"/>
        </w:numPr>
        <w:rPr>
          <w:rFonts w:eastAsia="Times New Roman"/>
          <w:lang w:eastAsia="cs-CZ"/>
        </w:rPr>
      </w:pPr>
      <w:r w:rsidRPr="00E604D9">
        <w:rPr>
          <w:rFonts w:eastAsia="Times New Roman"/>
          <w:lang w:eastAsia="cs-CZ"/>
        </w:rPr>
        <w:t>Vyučující realizují pedagogickou diagnostiku žáků, vyhodnocují její výsledky a v souladu s nimi volí formy a metody výuky, resp. kroky další péče o žáky</w:t>
      </w:r>
      <w:r>
        <w:rPr>
          <w:rFonts w:eastAsia="Times New Roman"/>
          <w:lang w:eastAsia="cs-CZ"/>
        </w:rPr>
        <w:t xml:space="preserve"> (78,9 %)</w:t>
      </w:r>
    </w:p>
    <w:p w:rsidR="004262BE" w:rsidRDefault="004262BE" w:rsidP="004262BE">
      <w:pPr>
        <w:pStyle w:val="Nzev"/>
        <w:numPr>
          <w:ilvl w:val="0"/>
          <w:numId w:val="32"/>
        </w:numPr>
        <w:rPr>
          <w:rFonts w:eastAsia="Times New Roman"/>
          <w:lang w:eastAsia="cs-CZ"/>
        </w:rPr>
      </w:pPr>
      <w:r w:rsidRPr="00E604D9">
        <w:rPr>
          <w:rFonts w:eastAsia="Times New Roman"/>
          <w:lang w:eastAsia="cs-CZ"/>
        </w:rPr>
        <w:t>Pedagogové umí využívat speciální učebnice, pomůcky i kompenzační pomůcky</w:t>
      </w:r>
      <w:r>
        <w:rPr>
          <w:rFonts w:eastAsia="Times New Roman"/>
          <w:lang w:eastAsia="cs-CZ"/>
        </w:rPr>
        <w:t xml:space="preserve"> (78,9 %)</w:t>
      </w:r>
    </w:p>
    <w:p w:rsidR="004262BE" w:rsidRDefault="004262BE" w:rsidP="004262BE">
      <w:pPr>
        <w:pStyle w:val="Nzev"/>
        <w:numPr>
          <w:ilvl w:val="0"/>
          <w:numId w:val="32"/>
        </w:numPr>
        <w:rPr>
          <w:rFonts w:eastAsia="Times New Roman"/>
          <w:lang w:eastAsia="cs-CZ"/>
        </w:rPr>
      </w:pPr>
      <w:r w:rsidRPr="00E604D9">
        <w:rPr>
          <w:rFonts w:eastAsia="Times New Roman"/>
          <w:lang w:eastAsia="cs-CZ"/>
        </w:rPr>
        <w:t>Škola upravuje organizaci a průběh vyučování v souladu s potřebami žáků se speciálními vzdělávacími potřebami (např. poskytuje skupinovou výuku pro nadané žáky, skupiny mohou být tvořeny žáky z různých ročníků, doučování apod.)</w:t>
      </w:r>
      <w:r>
        <w:rPr>
          <w:rFonts w:eastAsia="Times New Roman"/>
          <w:lang w:eastAsia="cs-CZ"/>
        </w:rPr>
        <w:t xml:space="preserve"> (78,9 %)</w:t>
      </w:r>
    </w:p>
    <w:p w:rsidR="004262BE" w:rsidRDefault="004262BE" w:rsidP="004262BE">
      <w:pPr>
        <w:pStyle w:val="Nzev"/>
        <w:numPr>
          <w:ilvl w:val="0"/>
          <w:numId w:val="32"/>
        </w:numPr>
        <w:rPr>
          <w:rFonts w:eastAsia="Times New Roman"/>
          <w:lang w:eastAsia="cs-CZ"/>
        </w:rPr>
      </w:pPr>
      <w:r w:rsidRPr="00E604D9">
        <w:rPr>
          <w:rFonts w:eastAsia="Times New Roman"/>
          <w:lang w:eastAsia="cs-CZ"/>
        </w:rPr>
        <w:t>Škola umí komunikovat s žáky, rodiči i pedagogy, vnímá jejich potřeby a systematicky rozvíjí školní kulturu, bezpečné a otevřené klima školy</w:t>
      </w:r>
      <w:r>
        <w:rPr>
          <w:rFonts w:eastAsia="Times New Roman"/>
          <w:lang w:eastAsia="cs-CZ"/>
        </w:rPr>
        <w:t xml:space="preserve"> (78,9 %)</w:t>
      </w:r>
    </w:p>
    <w:p w:rsidR="004262BE" w:rsidRDefault="00B25E25" w:rsidP="004262BE">
      <w:pPr>
        <w:pStyle w:val="Bezmezer"/>
        <w:rPr>
          <w:lang w:eastAsia="cs-CZ"/>
        </w:rPr>
      </w:pPr>
      <w:r>
        <w:rPr>
          <w:lang w:eastAsia="cs-CZ"/>
        </w:rPr>
        <w:t xml:space="preserve">Naopak </w:t>
      </w:r>
      <w:r w:rsidRPr="00117ADD">
        <w:rPr>
          <w:b/>
          <w:lang w:eastAsia="cs-CZ"/>
        </w:rPr>
        <w:t>nejmenší zájem je o bezbariérovost školních budov</w:t>
      </w:r>
      <w:r>
        <w:rPr>
          <w:lang w:eastAsia="cs-CZ"/>
        </w:rPr>
        <w:t xml:space="preserve"> (26,3 %), ale toto téma jako jediné vykazuje srovnatelnou hodnotu i v období 2019 – 2020. Vzhledem k tomu, že jako jediná je bezbariérovost čistě fyzickým zásahem do chodu školy, uvažují vedení škol o této problematice </w:t>
      </w:r>
      <w:r w:rsidR="00DF6671">
        <w:rPr>
          <w:lang w:eastAsia="cs-CZ"/>
        </w:rPr>
        <w:t xml:space="preserve">patrně </w:t>
      </w:r>
      <w:r>
        <w:rPr>
          <w:lang w:eastAsia="cs-CZ"/>
        </w:rPr>
        <w:t>jako o „běhu na delší trať“</w:t>
      </w:r>
      <w:r w:rsidR="00DF6671">
        <w:rPr>
          <w:lang w:eastAsia="cs-CZ"/>
        </w:rPr>
        <w:t>.</w:t>
      </w:r>
      <w:r>
        <w:rPr>
          <w:lang w:eastAsia="cs-CZ"/>
        </w:rPr>
        <w:t xml:space="preserve"> </w:t>
      </w:r>
      <w:r w:rsidR="006C5508">
        <w:rPr>
          <w:lang w:eastAsia="cs-CZ"/>
        </w:rPr>
        <w:t xml:space="preserve">Přes 70 % se </w:t>
      </w:r>
      <w:r w:rsidR="00670FB6">
        <w:rPr>
          <w:lang w:eastAsia="cs-CZ"/>
        </w:rPr>
        <w:t>každopádně</w:t>
      </w:r>
      <w:r w:rsidR="00DF6671">
        <w:rPr>
          <w:lang w:eastAsia="cs-CZ"/>
        </w:rPr>
        <w:t xml:space="preserve"> </w:t>
      </w:r>
      <w:r w:rsidR="006C5508">
        <w:rPr>
          <w:lang w:eastAsia="cs-CZ"/>
        </w:rPr>
        <w:t>dostalo dalších pět témat, což při celkovém počtu devatenácti témat značí vysokou míru zájmu o řešení inkluzivních forem vzdělávání</w:t>
      </w:r>
      <w:r>
        <w:rPr>
          <w:lang w:eastAsia="cs-CZ"/>
        </w:rPr>
        <w:t>, které platí v současném českém školství stále za „Popelku“</w:t>
      </w:r>
      <w:r w:rsidR="006C5508">
        <w:rPr>
          <w:lang w:eastAsia="cs-CZ"/>
        </w:rPr>
        <w:t>.</w:t>
      </w:r>
    </w:p>
    <w:p w:rsidR="00E604D9" w:rsidRPr="00E604D9" w:rsidRDefault="00E604D9" w:rsidP="00E604D9">
      <w:pPr>
        <w:pStyle w:val="Nadpis5"/>
      </w:pPr>
      <w:r>
        <w:t>Tabulka</w:t>
      </w:r>
      <w:r>
        <w:rPr>
          <w:szCs w:val="20"/>
        </w:rPr>
        <w:t>: Inkluzivní</w:t>
      </w:r>
      <w:r w:rsidRPr="00E604D9">
        <w:rPr>
          <w:szCs w:val="20"/>
        </w:rPr>
        <w:t>/ společné vzdělávání</w:t>
      </w:r>
    </w:p>
    <w:tbl>
      <w:tblPr>
        <w:tblW w:w="9224" w:type="dxa"/>
        <w:tblInd w:w="60" w:type="dxa"/>
        <w:tblLayout w:type="fixed"/>
        <w:tblCellMar>
          <w:left w:w="70" w:type="dxa"/>
          <w:right w:w="70" w:type="dxa"/>
        </w:tblCellMar>
        <w:tblLook w:val="04A0"/>
      </w:tblPr>
      <w:tblGrid>
        <w:gridCol w:w="4972"/>
        <w:gridCol w:w="992"/>
        <w:gridCol w:w="992"/>
        <w:gridCol w:w="992"/>
        <w:gridCol w:w="567"/>
        <w:gridCol w:w="709"/>
      </w:tblGrid>
      <w:tr w:rsidR="00E604D9" w:rsidRPr="005D22FB" w:rsidTr="00594E94">
        <w:trPr>
          <w:trHeight w:val="284"/>
        </w:trPr>
        <w:tc>
          <w:tcPr>
            <w:tcW w:w="4972" w:type="dxa"/>
            <w:vMerge w:val="restart"/>
            <w:tcBorders>
              <w:bottom w:val="single" w:sz="4" w:space="0" w:color="000000"/>
              <w:right w:val="single" w:sz="4" w:space="0" w:color="auto"/>
            </w:tcBorders>
            <w:shd w:val="clear" w:color="000000" w:fill="F4B082"/>
            <w:vAlign w:val="center"/>
            <w:hideMark/>
          </w:tcPr>
          <w:p w:rsidR="00E604D9" w:rsidRPr="005D22FB" w:rsidRDefault="00E604D9" w:rsidP="00B554CA">
            <w:pPr>
              <w:pStyle w:val="Nzev"/>
              <w:jc w:val="left"/>
              <w:rPr>
                <w:rFonts w:eastAsia="Times New Roman"/>
                <w:lang w:eastAsia="cs-CZ"/>
              </w:rPr>
            </w:pPr>
          </w:p>
        </w:tc>
        <w:tc>
          <w:tcPr>
            <w:tcW w:w="1984" w:type="dxa"/>
            <w:gridSpan w:val="2"/>
            <w:tcBorders>
              <w:left w:val="nil"/>
              <w:bottom w:val="nil"/>
              <w:right w:val="single" w:sz="4" w:space="0" w:color="000000"/>
            </w:tcBorders>
            <w:shd w:val="clear" w:color="000000" w:fill="F4B082"/>
            <w:vAlign w:val="bottom"/>
            <w:hideMark/>
          </w:tcPr>
          <w:p w:rsidR="00E604D9" w:rsidRPr="005D22FB" w:rsidRDefault="00E604D9" w:rsidP="00B554CA">
            <w:pPr>
              <w:pStyle w:val="Nzev"/>
              <w:jc w:val="center"/>
              <w:rPr>
                <w:rFonts w:eastAsia="Times New Roman"/>
                <w:lang w:eastAsia="cs-CZ"/>
              </w:rPr>
            </w:pPr>
            <w:r w:rsidRPr="005D22FB">
              <w:rPr>
                <w:rFonts w:eastAsia="Times New Roman"/>
                <w:lang w:eastAsia="cs-CZ"/>
              </w:rPr>
              <w:t xml:space="preserve">Podíl ZŠ v rámci </w:t>
            </w:r>
            <w:r w:rsidR="00594E94" w:rsidRPr="005D22FB">
              <w:rPr>
                <w:rFonts w:eastAsia="Times New Roman"/>
                <w:lang w:eastAsia="cs-CZ"/>
              </w:rPr>
              <w:t xml:space="preserve">SO </w:t>
            </w:r>
            <w:r w:rsidRPr="005D22FB">
              <w:rPr>
                <w:rFonts w:eastAsia="Times New Roman"/>
                <w:lang w:eastAsia="cs-CZ"/>
              </w:rPr>
              <w:t>ORP plánujících zlepšení</w:t>
            </w:r>
          </w:p>
        </w:tc>
        <w:tc>
          <w:tcPr>
            <w:tcW w:w="2268" w:type="dxa"/>
            <w:gridSpan w:val="3"/>
            <w:tcBorders>
              <w:left w:val="nil"/>
              <w:bottom w:val="nil"/>
            </w:tcBorders>
            <w:shd w:val="clear" w:color="000000" w:fill="F4B082"/>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Průměrné hodnocení aktuálního stavu</w:t>
            </w:r>
          </w:p>
        </w:tc>
      </w:tr>
      <w:tr w:rsidR="00E604D9" w:rsidRPr="005D22FB" w:rsidTr="00594E94">
        <w:trPr>
          <w:trHeight w:val="284"/>
        </w:trPr>
        <w:tc>
          <w:tcPr>
            <w:tcW w:w="4972" w:type="dxa"/>
            <w:vMerge/>
            <w:tcBorders>
              <w:top w:val="single" w:sz="8" w:space="0" w:color="auto"/>
              <w:bottom w:val="single" w:sz="4" w:space="0" w:color="000000"/>
              <w:right w:val="single" w:sz="4" w:space="0" w:color="auto"/>
            </w:tcBorders>
            <w:vAlign w:val="center"/>
            <w:hideMark/>
          </w:tcPr>
          <w:p w:rsidR="00E604D9" w:rsidRPr="005D22FB" w:rsidRDefault="00E604D9" w:rsidP="00B554CA">
            <w:pPr>
              <w:pStyle w:val="Nzev"/>
              <w:jc w:val="left"/>
              <w:rPr>
                <w:rFonts w:eastAsia="Times New Roman"/>
                <w:lang w:eastAsia="cs-CZ"/>
              </w:rPr>
            </w:pPr>
          </w:p>
        </w:tc>
        <w:tc>
          <w:tcPr>
            <w:tcW w:w="992" w:type="dxa"/>
            <w:tcBorders>
              <w:top w:val="single" w:sz="4" w:space="0" w:color="auto"/>
              <w:left w:val="nil"/>
              <w:bottom w:val="single" w:sz="4" w:space="0" w:color="auto"/>
              <w:right w:val="single" w:sz="4" w:space="0" w:color="auto"/>
            </w:tcBorders>
            <w:shd w:val="clear" w:color="000000" w:fill="F4B082"/>
            <w:vAlign w:val="center"/>
            <w:hideMark/>
          </w:tcPr>
          <w:p w:rsidR="00E604D9" w:rsidRPr="005D22FB" w:rsidRDefault="00594E94" w:rsidP="00B554CA">
            <w:pPr>
              <w:pStyle w:val="Nzev"/>
              <w:jc w:val="center"/>
              <w:rPr>
                <w:rFonts w:eastAsia="Times New Roman"/>
                <w:lang w:eastAsia="cs-CZ"/>
              </w:rPr>
            </w:pPr>
            <w:r w:rsidRPr="005D22FB">
              <w:rPr>
                <w:rFonts w:eastAsia="Times New Roman"/>
                <w:lang w:eastAsia="cs-CZ"/>
              </w:rPr>
              <w:t>2016–</w:t>
            </w:r>
            <w:r w:rsidR="00E604D9" w:rsidRPr="005D22FB">
              <w:rPr>
                <w:rFonts w:eastAsia="Times New Roman"/>
                <w:lang w:eastAsia="cs-CZ"/>
              </w:rPr>
              <w:t>18</w:t>
            </w:r>
          </w:p>
        </w:tc>
        <w:tc>
          <w:tcPr>
            <w:tcW w:w="992" w:type="dxa"/>
            <w:tcBorders>
              <w:top w:val="single" w:sz="4" w:space="0" w:color="auto"/>
              <w:left w:val="nil"/>
              <w:bottom w:val="single" w:sz="4" w:space="0" w:color="auto"/>
              <w:right w:val="single" w:sz="4" w:space="0" w:color="auto"/>
            </w:tcBorders>
            <w:shd w:val="clear" w:color="000000" w:fill="F4B082"/>
            <w:vAlign w:val="center"/>
            <w:hideMark/>
          </w:tcPr>
          <w:p w:rsidR="00E604D9" w:rsidRPr="005D22FB" w:rsidRDefault="00594E94" w:rsidP="00B554CA">
            <w:pPr>
              <w:pStyle w:val="Nzev"/>
              <w:jc w:val="center"/>
              <w:rPr>
                <w:rFonts w:eastAsia="Times New Roman"/>
                <w:lang w:eastAsia="cs-CZ"/>
              </w:rPr>
            </w:pPr>
            <w:r w:rsidRPr="005D22FB">
              <w:rPr>
                <w:rFonts w:eastAsia="Times New Roman"/>
                <w:lang w:eastAsia="cs-CZ"/>
              </w:rPr>
              <w:t>2019–</w:t>
            </w:r>
            <w:r w:rsidR="00E604D9" w:rsidRPr="005D22FB">
              <w:rPr>
                <w:rFonts w:eastAsia="Times New Roman"/>
                <w:lang w:eastAsia="cs-CZ"/>
              </w:rPr>
              <w:t>20</w:t>
            </w:r>
          </w:p>
        </w:tc>
        <w:tc>
          <w:tcPr>
            <w:tcW w:w="992" w:type="dxa"/>
            <w:tcBorders>
              <w:top w:val="single" w:sz="4" w:space="0" w:color="auto"/>
              <w:left w:val="nil"/>
              <w:bottom w:val="single" w:sz="4" w:space="0" w:color="auto"/>
              <w:right w:val="nil"/>
            </w:tcBorders>
            <w:shd w:val="clear" w:color="000000" w:fill="F4B082"/>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SO ORP</w:t>
            </w:r>
          </w:p>
        </w:tc>
        <w:tc>
          <w:tcPr>
            <w:tcW w:w="567" w:type="dxa"/>
            <w:tcBorders>
              <w:top w:val="single" w:sz="4" w:space="0" w:color="auto"/>
              <w:left w:val="single" w:sz="4" w:space="0" w:color="auto"/>
              <w:bottom w:val="single" w:sz="4" w:space="0" w:color="auto"/>
              <w:right w:val="single" w:sz="4" w:space="0" w:color="000000"/>
            </w:tcBorders>
            <w:shd w:val="clear" w:color="000000" w:fill="F4B082"/>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kraj</w:t>
            </w:r>
          </w:p>
        </w:tc>
        <w:tc>
          <w:tcPr>
            <w:tcW w:w="709" w:type="dxa"/>
            <w:tcBorders>
              <w:top w:val="single" w:sz="4" w:space="0" w:color="auto"/>
              <w:left w:val="nil"/>
              <w:bottom w:val="single" w:sz="4" w:space="0" w:color="auto"/>
            </w:tcBorders>
            <w:shd w:val="clear" w:color="000000" w:fill="F4B082"/>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ČR</w:t>
            </w:r>
          </w:p>
        </w:tc>
      </w:tr>
      <w:tr w:rsidR="00E604D9" w:rsidRPr="005D22FB" w:rsidTr="00594E94">
        <w:trPr>
          <w:trHeight w:val="284"/>
        </w:trPr>
        <w:tc>
          <w:tcPr>
            <w:tcW w:w="4972" w:type="dxa"/>
            <w:tcBorders>
              <w:top w:val="nil"/>
              <w:bottom w:val="nil"/>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bookmarkStart w:id="21" w:name="RANGE!C6"/>
            <w:r w:rsidRPr="005D22FB">
              <w:rPr>
                <w:rFonts w:eastAsia="Times New Roman"/>
                <w:lang w:eastAsia="cs-CZ"/>
              </w:rPr>
              <w:t>Škola dokáže přijmout ke vzdělávání všechny žáky bez rozdílu (včetně žáků s odlišným kulturním prostředím, sociálním znevýhodněním, cizince, žáky se speciálními vzdělávacími potřebami (SVP) apod.)</w:t>
            </w:r>
            <w:bookmarkEnd w:id="21"/>
          </w:p>
        </w:tc>
        <w:tc>
          <w:tcPr>
            <w:tcW w:w="992" w:type="dxa"/>
            <w:tcBorders>
              <w:top w:val="nil"/>
              <w:left w:val="nil"/>
              <w:bottom w:val="nil"/>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68,4%</w:t>
            </w:r>
          </w:p>
        </w:tc>
        <w:tc>
          <w:tcPr>
            <w:tcW w:w="992" w:type="dxa"/>
            <w:tcBorders>
              <w:top w:val="nil"/>
              <w:left w:val="nil"/>
              <w:bottom w:val="nil"/>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2,62</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2,61</w:t>
            </w:r>
          </w:p>
        </w:tc>
      </w:tr>
      <w:tr w:rsidR="00E604D9" w:rsidRPr="005D22FB" w:rsidTr="00594E94">
        <w:trPr>
          <w:trHeight w:val="284"/>
        </w:trPr>
        <w:tc>
          <w:tcPr>
            <w:tcW w:w="4972" w:type="dxa"/>
            <w:tcBorders>
              <w:top w:val="single" w:sz="4" w:space="0" w:color="auto"/>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lastRenderedPageBreak/>
              <w:t>Škola je bezbariérová (jedná se o bezbariérovost jak vnější, tj. zpřístupnění školy, tak i vnitřní, tj. přizpůsobení a vybavení učeben a dalších prostorů školy)</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26,3%</w:t>
            </w:r>
          </w:p>
        </w:tc>
        <w:tc>
          <w:tcPr>
            <w:tcW w:w="992" w:type="dxa"/>
            <w:tcBorders>
              <w:top w:val="single" w:sz="4" w:space="0" w:color="auto"/>
              <w:left w:val="single" w:sz="4" w:space="0" w:color="auto"/>
              <w:bottom w:val="single" w:sz="4" w:space="0" w:color="auto"/>
              <w:right w:val="nil"/>
            </w:tcBorders>
            <w:shd w:val="clear" w:color="000000" w:fill="FFC7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1,53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1,60</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1,63</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umí komunikovat s žáky, rodiči i pedagogy, vnímá jejich potřeby a systematicky rozvíjí školní kulturu, bezpečné a otevřené klima školy</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3,21</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3,06</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3,05</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umožňuje pedagogům navázat vztahy s  místními a regionálními školami různých úrovní (společné diskuze, sdílení dobré praxe, akce pro jiné školy nebo s jinými školami apod.)</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63,2%</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21,1%</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2,45</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2,45</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Vedení školy vytváří podmínky pro realizaci inkluzivních principů ve vzdělávání na škole (zajišťování odborné, materiální a finanční podpory, dalšího vzdělávání pedagogických pracovníků; pravidelná metodická setkání členů pedagogického sboru aj.)</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2,64</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2,64</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upravuje organizaci a průběh vyučování v souladu s potřebami žáků se speciálními vzdělávacími potřebami (např. poskytuje skupinovou výuku pro nadané žáky, skupiny mohou být tvořeny žáky z různých ročníků, doučování apod.)</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2,50</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2,50</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má vytvořený systém podpory pro žáky se speciálními vzdělávacími potřebami (je vybavena kompenzačními/ speciálními pomůckami, využívá služeb asistenta pedagoga atd.)</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10,5%</w:t>
            </w:r>
          </w:p>
        </w:tc>
        <w:tc>
          <w:tcPr>
            <w:tcW w:w="992" w:type="dxa"/>
            <w:tcBorders>
              <w:top w:val="single" w:sz="4" w:space="0" w:color="auto"/>
              <w:left w:val="single" w:sz="4" w:space="0" w:color="auto"/>
              <w:bottom w:val="single" w:sz="4" w:space="0" w:color="auto"/>
              <w:right w:val="nil"/>
            </w:tcBorders>
            <w:shd w:val="clear" w:color="000000" w:fill="FFC7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2,73</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2,68</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Pedagogové umí využívat speciální učebnice, pomůcky i kompenzační pomůcky</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2,68</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2,52</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2,54</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umí připravit všechny žáky na bezproblémový přechod na další stupeň vzdělávání</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10,5%</w:t>
            </w:r>
          </w:p>
        </w:tc>
        <w:tc>
          <w:tcPr>
            <w:tcW w:w="992" w:type="dxa"/>
            <w:tcBorders>
              <w:top w:val="single" w:sz="4" w:space="0" w:color="auto"/>
              <w:left w:val="single" w:sz="4" w:space="0" w:color="auto"/>
              <w:bottom w:val="single" w:sz="4" w:space="0" w:color="auto"/>
              <w:right w:val="nil"/>
            </w:tcBorders>
            <w:shd w:val="clear" w:color="000000" w:fill="FFC7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2,96</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2,96</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Vyučující spolupracují při naplňování vzdělávacích potřeb žáků (např. společnými poradami týkajícími se vzdělávání žáků apod.)</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63,2%</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3,16</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3,08</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3,06</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Pedagogové jsou schopni vhodně přizpůsobit obsah vzdělávání, upravit formy a metody a nastavit různé úrovně obtížnosti v souladu se specifiky a potřebami žáků tak, aby bylo dosaženo a využito maximálních možností vzdělávaného žáka (např. učivo určené nadaným žákům je rozšiřováno a prohlubováno v soul</w:t>
            </w:r>
            <w:r w:rsidR="00CE0F3E">
              <w:rPr>
                <w:rFonts w:eastAsia="Times New Roman"/>
                <w:lang w:eastAsia="cs-CZ"/>
              </w:rPr>
              <w:t>adu s jejich předpoklady</w:t>
            </w:r>
            <w:r w:rsidRPr="005D22FB">
              <w:rPr>
                <w:rFonts w:eastAsia="Times New Roman"/>
                <w:lang w:eastAsia="cs-CZ"/>
              </w:rPr>
              <w:t xml:space="preserve"> apod.)</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2,89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2,72</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2,72</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Pedagogové umí spolupracovat ve výuce s dalšími pedagogickými (asistent pedagoga, další pedagog) i nepedagogickými pracovníky (tlumočník do českého znakového jazyka, osobní asistent)</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63,2%</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2,95</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2,58</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2,54</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zajišťuje žákům se speciálními vzdělávacími potřebami účast na aktivitách nad rámec školní práce, které směřují k rozvoji dovedností, schopností a postojů žáka</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2,33</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2,34</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Vyučující realizují pedagogickou diagnostiku žáků, vyhodnocují její výsledky a v souladu s nimi volí formy a metody výuky, resp. kroky další péče o žáky</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2,68</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2,64</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poskytuje výuku českého jazyka pro cizince</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42,1%</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1,37</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1,26</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1,27</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Pedagogové využívají v komunikaci se žákem popisnou slovní zpětnou vazbu, vytvářejí prostor k sebehodnocení žáka a k rozvoji jeho motivace ke vzdělávání</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10,5%</w:t>
            </w:r>
          </w:p>
        </w:tc>
        <w:tc>
          <w:tcPr>
            <w:tcW w:w="992" w:type="dxa"/>
            <w:tcBorders>
              <w:top w:val="single" w:sz="4" w:space="0" w:color="auto"/>
              <w:left w:val="single" w:sz="4" w:space="0" w:color="auto"/>
              <w:bottom w:val="single" w:sz="4" w:space="0" w:color="auto"/>
              <w:right w:val="nil"/>
            </w:tcBorders>
            <w:shd w:val="clear" w:color="000000" w:fill="FFC7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2,58</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2,70</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2,69</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klade důraz nejen na budování vlastního úspěchu žáka, ale i na odbourávání bariér mezi lidmi, vede k sounáležitosti se spolužáky a dalšími lidmi apod.</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3,05</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2,97</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2,94</w:t>
            </w:r>
          </w:p>
        </w:tc>
      </w:tr>
      <w:tr w:rsidR="00E604D9" w:rsidRPr="005D22FB" w:rsidTr="00594E94">
        <w:trPr>
          <w:trHeight w:val="284"/>
        </w:trPr>
        <w:tc>
          <w:tcPr>
            <w:tcW w:w="4972" w:type="dxa"/>
            <w:tcBorders>
              <w:top w:val="nil"/>
              <w:bottom w:val="single" w:sz="4" w:space="0" w:color="auto"/>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Učitelé vnímají tvořivým způsobem rozdíly mezi žáky jako zdroj zkušeností a příležitost k vlastnímu seberozvoji</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2,75</w:t>
            </w:r>
          </w:p>
        </w:tc>
        <w:tc>
          <w:tcPr>
            <w:tcW w:w="709" w:type="dxa"/>
            <w:tcBorders>
              <w:top w:val="single" w:sz="4" w:space="0" w:color="auto"/>
              <w:left w:val="nil"/>
              <w:bottom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2,73</w:t>
            </w:r>
          </w:p>
        </w:tc>
      </w:tr>
      <w:tr w:rsidR="00E604D9" w:rsidRPr="005D22FB" w:rsidTr="00594E94">
        <w:trPr>
          <w:trHeight w:val="284"/>
        </w:trPr>
        <w:tc>
          <w:tcPr>
            <w:tcW w:w="4972" w:type="dxa"/>
            <w:tcBorders>
              <w:top w:val="nil"/>
              <w:right w:val="single" w:sz="4" w:space="0" w:color="auto"/>
            </w:tcBorders>
            <w:shd w:val="clear" w:color="auto" w:fill="auto"/>
            <w:vAlign w:val="center"/>
            <w:hideMark/>
          </w:tcPr>
          <w:p w:rsidR="00E604D9" w:rsidRPr="005D22FB" w:rsidRDefault="00E604D9" w:rsidP="00B554CA">
            <w:pPr>
              <w:pStyle w:val="Nzev"/>
              <w:jc w:val="left"/>
              <w:rPr>
                <w:rFonts w:eastAsia="Times New Roman"/>
                <w:lang w:eastAsia="cs-CZ"/>
              </w:rPr>
            </w:pPr>
            <w:r w:rsidRPr="005D22FB">
              <w:rPr>
                <w:rFonts w:eastAsia="Times New Roman"/>
                <w:lang w:eastAsia="cs-CZ"/>
              </w:rPr>
              <w:t>Škola učí všechny žáky uvědomovat si práva a povinnosti (vina, trest, spravedlnost, Úmluva o právech dítěte apod.)</w:t>
            </w:r>
          </w:p>
        </w:tc>
        <w:tc>
          <w:tcPr>
            <w:tcW w:w="992" w:type="dxa"/>
            <w:tcBorders>
              <w:top w:val="single" w:sz="4" w:space="0" w:color="auto"/>
              <w:left w:val="nil"/>
              <w:right w:val="single" w:sz="4" w:space="0" w:color="auto"/>
            </w:tcBorders>
            <w:shd w:val="clear" w:color="000000" w:fill="C6EFCE"/>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78,9%</w:t>
            </w:r>
          </w:p>
        </w:tc>
        <w:tc>
          <w:tcPr>
            <w:tcW w:w="992" w:type="dxa"/>
            <w:tcBorders>
              <w:top w:val="nil"/>
              <w:left w:val="nil"/>
              <w:right w:val="single" w:sz="4" w:space="0" w:color="auto"/>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0,0%</w:t>
            </w:r>
          </w:p>
        </w:tc>
        <w:tc>
          <w:tcPr>
            <w:tcW w:w="992" w:type="dxa"/>
            <w:tcBorders>
              <w:top w:val="single" w:sz="4" w:space="0" w:color="auto"/>
              <w:left w:val="nil"/>
              <w:righ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3,11</w:t>
            </w:r>
          </w:p>
        </w:tc>
        <w:tc>
          <w:tcPr>
            <w:tcW w:w="567" w:type="dxa"/>
            <w:tcBorders>
              <w:top w:val="single" w:sz="4" w:space="0" w:color="auto"/>
              <w:left w:val="single" w:sz="4" w:space="0" w:color="auto"/>
              <w:right w:val="single" w:sz="4" w:space="0" w:color="000000"/>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3,13</w:t>
            </w:r>
          </w:p>
        </w:tc>
        <w:tc>
          <w:tcPr>
            <w:tcW w:w="709" w:type="dxa"/>
            <w:tcBorders>
              <w:top w:val="single" w:sz="4" w:space="0" w:color="auto"/>
              <w:left w:val="nil"/>
            </w:tcBorders>
            <w:shd w:val="clear" w:color="000000" w:fill="FFFFFF"/>
            <w:vAlign w:val="center"/>
            <w:hideMark/>
          </w:tcPr>
          <w:p w:rsidR="00E604D9" w:rsidRPr="005D22FB" w:rsidRDefault="00E604D9" w:rsidP="00B554CA">
            <w:pPr>
              <w:pStyle w:val="Nzev"/>
              <w:jc w:val="center"/>
              <w:rPr>
                <w:rFonts w:eastAsia="Times New Roman"/>
                <w:lang w:eastAsia="cs-CZ"/>
              </w:rPr>
            </w:pPr>
            <w:r w:rsidRPr="005D22FB">
              <w:rPr>
                <w:rFonts w:eastAsia="Times New Roman"/>
                <w:lang w:eastAsia="cs-CZ"/>
              </w:rPr>
              <w:t>3,07</w:t>
            </w:r>
          </w:p>
        </w:tc>
      </w:tr>
    </w:tbl>
    <w:p w:rsidR="005E6E6A" w:rsidRDefault="005E6E6A" w:rsidP="005E6E6A">
      <w:pPr>
        <w:pStyle w:val="Bezmezer"/>
        <w:rPr>
          <w:lang w:eastAsia="cs-CZ"/>
        </w:rPr>
      </w:pPr>
      <w:r>
        <w:rPr>
          <w:lang w:eastAsia="cs-CZ"/>
        </w:rPr>
        <w:lastRenderedPageBreak/>
        <w:t xml:space="preserve">K rozporům však dochází, když předešlé zkonfrontujeme s hodnotami, které představují posouzení současného stavu těch samých témat. Témata zmiňovaná v předchozích odstavcích jako nejakutnější se ve světle třetího sloupce jeví jako relativně zvládnutá. Tři ze sedmi nejakutnějších témat dostalo v rámci hodnocení současného stavu známku vyšší než tři! </w:t>
      </w:r>
      <w:r w:rsidR="000224C1">
        <w:rPr>
          <w:lang w:eastAsia="cs-CZ"/>
        </w:rPr>
        <w:t xml:space="preserve">Výjimku tvoří pouze zmiňovaná bezbariérovost s hodnotou 1,53, což je dokonce číslo nižší než celokrajský i celorepublikový průměr a výuka českého jazyka pro cizince (míra priority 42,1 % a hodnota aktuálního stavu 1,37). </w:t>
      </w:r>
      <w:r w:rsidRPr="00755C09">
        <w:rPr>
          <w:b/>
          <w:lang w:eastAsia="cs-CZ"/>
        </w:rPr>
        <w:t>Vzhledem k relativitě standardu, dle kterého mohou svůj současný stav školy porovnávat, se však jako informace s vyšší vypovídací hodnotou jeví procentuální míra priority vybraných témat</w:t>
      </w:r>
      <w:r>
        <w:rPr>
          <w:lang w:eastAsia="cs-CZ"/>
        </w:rPr>
        <w:t>. Tuto skutečnost potvrzují i další sebrané informace týkající se procentuálního podílu škol v rámci SO ORP KH narážejících na danou překážku:</w:t>
      </w:r>
      <w:r w:rsidR="005E1ACB">
        <w:rPr>
          <w:lang w:eastAsia="cs-CZ"/>
        </w:rPr>
        <w:t xml:space="preserve"> </w:t>
      </w:r>
    </w:p>
    <w:p w:rsidR="005E6E6A" w:rsidRDefault="005E6E6A" w:rsidP="005E6E6A">
      <w:pPr>
        <w:pStyle w:val="Nzev"/>
        <w:numPr>
          <w:ilvl w:val="0"/>
          <w:numId w:val="33"/>
        </w:numPr>
        <w:rPr>
          <w:rFonts w:eastAsia="Times New Roman"/>
          <w:lang w:eastAsia="cs-CZ"/>
        </w:rPr>
      </w:pPr>
      <w:r w:rsidRPr="001F0DDC">
        <w:rPr>
          <w:rFonts w:eastAsia="Times New Roman"/>
          <w:lang w:eastAsia="cs-CZ"/>
        </w:rPr>
        <w:t>Nedostatečné finanční zajištění personálních nákladů na práci s heterogenními skupinami žáků (např. asistentů pedagoga, pedagogické i nepedagogické pracovníky)</w:t>
      </w:r>
      <w:r>
        <w:rPr>
          <w:rFonts w:eastAsia="Times New Roman"/>
          <w:lang w:eastAsia="cs-CZ"/>
        </w:rPr>
        <w:t xml:space="preserve"> </w:t>
      </w:r>
      <w:r w:rsidRPr="005E6E6A">
        <w:rPr>
          <w:rFonts w:eastAsia="Times New Roman"/>
          <w:b/>
          <w:lang w:eastAsia="cs-CZ"/>
        </w:rPr>
        <w:t>(</w:t>
      </w:r>
      <w:proofErr w:type="gramStart"/>
      <w:r w:rsidRPr="005E6E6A">
        <w:rPr>
          <w:rFonts w:eastAsia="Times New Roman"/>
          <w:b/>
          <w:lang w:eastAsia="cs-CZ"/>
        </w:rPr>
        <w:t>100 % !!!)</w:t>
      </w:r>
      <w:proofErr w:type="gramEnd"/>
    </w:p>
    <w:p w:rsidR="005E6E6A" w:rsidRDefault="005E6E6A" w:rsidP="005E6E6A">
      <w:pPr>
        <w:pStyle w:val="Nzev"/>
        <w:numPr>
          <w:ilvl w:val="0"/>
          <w:numId w:val="33"/>
        </w:numPr>
        <w:rPr>
          <w:rFonts w:eastAsia="Times New Roman"/>
          <w:lang w:eastAsia="cs-CZ"/>
        </w:rPr>
      </w:pPr>
      <w:r w:rsidRPr="001F0DDC">
        <w:rPr>
          <w:rFonts w:eastAsia="Times New Roman"/>
          <w:lang w:eastAsia="cs-CZ"/>
        </w:rPr>
        <w:t>Nedostatek finančních prostředků pro realizaci mimoškolního vzdělávání pro znevýhodněné žáky (např. výstavy, exkurze, kroužky apod.)</w:t>
      </w:r>
      <w:r>
        <w:rPr>
          <w:rFonts w:eastAsia="Times New Roman"/>
          <w:lang w:eastAsia="cs-CZ"/>
        </w:rPr>
        <w:t xml:space="preserve"> (84,2 %)</w:t>
      </w:r>
    </w:p>
    <w:p w:rsidR="005E6E6A" w:rsidRDefault="005E6E6A" w:rsidP="005E6E6A">
      <w:pPr>
        <w:pStyle w:val="Nzev"/>
        <w:numPr>
          <w:ilvl w:val="0"/>
          <w:numId w:val="33"/>
        </w:numPr>
        <w:rPr>
          <w:rFonts w:eastAsia="Times New Roman"/>
          <w:lang w:eastAsia="cs-CZ"/>
        </w:rPr>
      </w:pPr>
      <w:r w:rsidRPr="001F0DDC">
        <w:rPr>
          <w:rFonts w:eastAsia="Times New Roman"/>
          <w:lang w:eastAsia="cs-CZ"/>
        </w:rPr>
        <w:t>Na školu je tlačeno ze strany státu na rychlou změnu stávajícího systému</w:t>
      </w:r>
      <w:r>
        <w:rPr>
          <w:rFonts w:eastAsia="Times New Roman"/>
          <w:lang w:eastAsia="cs-CZ"/>
        </w:rPr>
        <w:t xml:space="preserve"> (73,7 %)</w:t>
      </w:r>
    </w:p>
    <w:p w:rsidR="005E6E6A" w:rsidRDefault="005E6E6A" w:rsidP="005E6E6A">
      <w:pPr>
        <w:pStyle w:val="Nzev"/>
        <w:numPr>
          <w:ilvl w:val="0"/>
          <w:numId w:val="33"/>
        </w:numPr>
        <w:rPr>
          <w:rFonts w:eastAsia="Times New Roman"/>
          <w:lang w:eastAsia="cs-CZ"/>
        </w:rPr>
      </w:pPr>
      <w:r w:rsidRPr="001F0DDC">
        <w:rPr>
          <w:rFonts w:eastAsia="Times New Roman"/>
          <w:lang w:eastAsia="cs-CZ"/>
        </w:rPr>
        <w:t>Nedostatečná kampaň/osvěta v oblasti inkluze/společného vzdělávání pro většinovou veřejnost, pro rodiče, pro rodiče žáků se speciálními vzdělávacími potřebami apod.</w:t>
      </w:r>
      <w:r>
        <w:rPr>
          <w:rFonts w:eastAsia="Times New Roman"/>
          <w:lang w:eastAsia="cs-CZ"/>
        </w:rPr>
        <w:t xml:space="preserve"> (73,7 %)</w:t>
      </w:r>
    </w:p>
    <w:p w:rsidR="005E6E6A" w:rsidRDefault="005E6E6A" w:rsidP="005E6E6A">
      <w:pPr>
        <w:pStyle w:val="Nzev"/>
        <w:numPr>
          <w:ilvl w:val="0"/>
          <w:numId w:val="33"/>
        </w:numPr>
        <w:rPr>
          <w:lang w:eastAsia="cs-CZ"/>
        </w:rPr>
      </w:pPr>
      <w:r w:rsidRPr="001F0DDC">
        <w:rPr>
          <w:rFonts w:eastAsia="Times New Roman"/>
          <w:lang w:eastAsia="cs-CZ"/>
        </w:rPr>
        <w:t>Nedostatek vzdělávacích materiálů, pomůcek a metodik v oblasti inkluze vč. metodické podpory ze strany MŠMT</w:t>
      </w:r>
      <w:r>
        <w:rPr>
          <w:rFonts w:eastAsia="Times New Roman"/>
          <w:lang w:eastAsia="cs-CZ"/>
        </w:rPr>
        <w:t xml:space="preserve"> (73,7 %)</w:t>
      </w:r>
    </w:p>
    <w:p w:rsidR="00E604D9" w:rsidRPr="00567927" w:rsidRDefault="00C2575F" w:rsidP="005E6E6A">
      <w:pPr>
        <w:pStyle w:val="Bezmezer"/>
      </w:pPr>
      <w:r>
        <w:rPr>
          <w:lang w:eastAsia="cs-CZ"/>
        </w:rPr>
        <w:t xml:space="preserve">ZŠ se tak snaží v rámci mezí činit, co se dá a tento stav poté patrně hodnotí jako relativně stabilizovaný, </w:t>
      </w:r>
      <w:r w:rsidRPr="00C2575F">
        <w:rPr>
          <w:b/>
          <w:lang w:eastAsia="cs-CZ"/>
        </w:rPr>
        <w:t>ale j</w:t>
      </w:r>
      <w:r w:rsidR="005E6E6A" w:rsidRPr="00C2575F">
        <w:rPr>
          <w:b/>
          <w:lang w:eastAsia="cs-CZ"/>
        </w:rPr>
        <w:t xml:space="preserve">e evidentní, že </w:t>
      </w:r>
      <w:r w:rsidRPr="00C2575F">
        <w:rPr>
          <w:b/>
          <w:lang w:eastAsia="cs-CZ"/>
        </w:rPr>
        <w:t>jim</w:t>
      </w:r>
      <w:r w:rsidR="005E6E6A" w:rsidRPr="00C2575F">
        <w:rPr>
          <w:b/>
          <w:lang w:eastAsia="cs-CZ"/>
        </w:rPr>
        <w:t xml:space="preserve"> zásadně chybí finanční prostředky, </w:t>
      </w:r>
      <w:r w:rsidRPr="00C2575F">
        <w:rPr>
          <w:b/>
          <w:lang w:eastAsia="cs-CZ"/>
        </w:rPr>
        <w:t xml:space="preserve">personální kapacity, </w:t>
      </w:r>
      <w:r w:rsidR="005E6E6A" w:rsidRPr="00C2575F">
        <w:rPr>
          <w:b/>
          <w:lang w:eastAsia="cs-CZ"/>
        </w:rPr>
        <w:t xml:space="preserve">systémová podpora i osvěta </w:t>
      </w:r>
      <w:r w:rsidR="00B54899">
        <w:rPr>
          <w:b/>
          <w:lang w:eastAsia="cs-CZ"/>
        </w:rPr>
        <w:t>této</w:t>
      </w:r>
      <w:r w:rsidR="005E6E6A" w:rsidRPr="00C2575F">
        <w:rPr>
          <w:b/>
          <w:lang w:eastAsia="cs-CZ"/>
        </w:rPr>
        <w:t xml:space="preserve"> „ožehavé</w:t>
      </w:r>
      <w:r w:rsidR="005E6E6A" w:rsidRPr="00567927">
        <w:rPr>
          <w:b/>
          <w:lang w:eastAsia="cs-CZ"/>
        </w:rPr>
        <w:t xml:space="preserve">“ </w:t>
      </w:r>
      <w:r w:rsidR="00B54899">
        <w:rPr>
          <w:b/>
          <w:lang w:eastAsia="cs-CZ"/>
        </w:rPr>
        <w:t>oblasti</w:t>
      </w:r>
      <w:r w:rsidR="005E6E6A" w:rsidRPr="00567927">
        <w:rPr>
          <w:b/>
          <w:lang w:eastAsia="cs-CZ"/>
        </w:rPr>
        <w:t xml:space="preserve"> u širší veřejnosti</w:t>
      </w:r>
      <w:r w:rsidR="005E6E6A" w:rsidRPr="00567927">
        <w:rPr>
          <w:lang w:eastAsia="cs-CZ"/>
        </w:rPr>
        <w:t xml:space="preserve">. </w:t>
      </w:r>
    </w:p>
    <w:p w:rsidR="009D1458" w:rsidRPr="00567927" w:rsidRDefault="009D1458" w:rsidP="009D1458">
      <w:pPr>
        <w:pStyle w:val="Bezmezer"/>
        <w:rPr>
          <w:u w:val="single"/>
        </w:rPr>
      </w:pPr>
      <w:r w:rsidRPr="00567927">
        <w:rPr>
          <w:u w:val="single"/>
        </w:rPr>
        <w:t>Rozvoj čtenářské gramotnosti</w:t>
      </w:r>
    </w:p>
    <w:p w:rsidR="00567927" w:rsidRPr="00567927" w:rsidRDefault="00567927" w:rsidP="00567927">
      <w:pPr>
        <w:pStyle w:val="Bezmezer"/>
      </w:pPr>
      <w:r w:rsidRPr="00567927">
        <w:t xml:space="preserve">V rámci </w:t>
      </w:r>
      <w:r w:rsidR="00B54899">
        <w:t>oblasti</w:t>
      </w:r>
      <w:r w:rsidRPr="00567927">
        <w:t xml:space="preserve"> </w:t>
      </w:r>
      <w:r w:rsidR="00DB71E1">
        <w:t>čtenářské gramotnosti</w:t>
      </w:r>
      <w:r w:rsidRPr="00567927">
        <w:t xml:space="preserve"> hodnotily ZŠ čtrnáct </w:t>
      </w:r>
      <w:r w:rsidR="005D22FB">
        <w:t xml:space="preserve">modelových </w:t>
      </w:r>
      <w:r w:rsidRPr="00567927">
        <w:t xml:space="preserve">situací, jejich prioritu v nadcházejících letech v rámci chodu školy a rovněž jejich současnou situaci. </w:t>
      </w:r>
    </w:p>
    <w:p w:rsidR="00567927" w:rsidRPr="001F76F5" w:rsidRDefault="00B54899" w:rsidP="00567927">
      <w:pPr>
        <w:pStyle w:val="Bezmezer"/>
      </w:pPr>
      <w:r>
        <w:t>Stejně jako v předchozí</w:t>
      </w:r>
      <w:r w:rsidR="001F76F5" w:rsidRPr="001F76F5">
        <w:t xml:space="preserve"> </w:t>
      </w:r>
      <w:r>
        <w:t>oblasti</w:t>
      </w:r>
      <w:r w:rsidR="001F76F5" w:rsidRPr="001F76F5">
        <w:t xml:space="preserve"> nejprve zmiňme naprostou </w:t>
      </w:r>
      <w:r w:rsidR="001F76F5" w:rsidRPr="001F76F5">
        <w:rPr>
          <w:b/>
        </w:rPr>
        <w:t>dominanci</w:t>
      </w:r>
      <w:r w:rsidR="001F76F5" w:rsidRPr="001F76F5">
        <w:t xml:space="preserve"> </w:t>
      </w:r>
      <w:r w:rsidR="00567927" w:rsidRPr="001F76F5">
        <w:rPr>
          <w:b/>
        </w:rPr>
        <w:t>plánů ZŠ na první období, tedy roky 2016 – 2018</w:t>
      </w:r>
      <w:r w:rsidR="00567927" w:rsidRPr="001F76F5">
        <w:t xml:space="preserve">. </w:t>
      </w:r>
      <w:r w:rsidR="001F76F5" w:rsidRPr="001F76F5">
        <w:t xml:space="preserve">V tomto případě je </w:t>
      </w:r>
      <w:r w:rsidR="001F76F5" w:rsidRPr="009677DE">
        <w:rPr>
          <w:b/>
        </w:rPr>
        <w:t>převaha horizontu let 2016 – 18 však ještě markantnější</w:t>
      </w:r>
      <w:r w:rsidR="001F76F5" w:rsidRPr="001F76F5">
        <w:t xml:space="preserve">. Zatímco v případě </w:t>
      </w:r>
      <w:r>
        <w:t>oblasti</w:t>
      </w:r>
      <w:r w:rsidR="001F76F5" w:rsidRPr="001F76F5">
        <w:t xml:space="preserve"> inkluze </w:t>
      </w:r>
      <w:r w:rsidR="001F76F5">
        <w:t>vycházel</w:t>
      </w:r>
      <w:r w:rsidR="00FB58BB">
        <w:t>o</w:t>
      </w:r>
      <w:r w:rsidR="001F76F5">
        <w:t xml:space="preserve"> </w:t>
      </w:r>
      <w:r w:rsidR="00FB58BB">
        <w:t>průměrné procentuální vyjá</w:t>
      </w:r>
      <w:r w:rsidR="001F76F5" w:rsidRPr="001F76F5">
        <w:t>d</w:t>
      </w:r>
      <w:r w:rsidR="001F76F5" w:rsidRPr="001F76F5">
        <w:rPr>
          <w:rFonts w:hint="eastAsia"/>
        </w:rPr>
        <w:t>ř</w:t>
      </w:r>
      <w:r w:rsidR="00FB58BB">
        <w:t>ení míry</w:t>
      </w:r>
      <w:r w:rsidR="001F76F5" w:rsidRPr="001F76F5">
        <w:t xml:space="preserve"> priority </w:t>
      </w:r>
      <w:r w:rsidR="00FB58BB">
        <w:t>pro období 16 – 18 na 69 % a pro období 19 – 20 na 8 %, tak v případě čtenářské gramotnosti má průměrné procentuální vyjá</w:t>
      </w:r>
      <w:r w:rsidR="00FB58BB" w:rsidRPr="001F76F5">
        <w:t>d</w:t>
      </w:r>
      <w:r w:rsidR="00FB58BB" w:rsidRPr="001F76F5">
        <w:rPr>
          <w:rFonts w:hint="eastAsia"/>
        </w:rPr>
        <w:t>ř</w:t>
      </w:r>
      <w:r w:rsidR="00FB58BB">
        <w:t>ení míry</w:t>
      </w:r>
      <w:r w:rsidR="00FB58BB" w:rsidRPr="001F76F5">
        <w:t xml:space="preserve"> priority</w:t>
      </w:r>
      <w:r w:rsidR="00FB58BB">
        <w:t xml:space="preserve"> pro období 16 – 18 hodnotu 80 % a pro období 19 – 20 </w:t>
      </w:r>
      <w:proofErr w:type="gramStart"/>
      <w:r w:rsidR="00FB58BB">
        <w:t>hodnotu</w:t>
      </w:r>
      <w:proofErr w:type="gramEnd"/>
      <w:r w:rsidR="00FB58BB">
        <w:t xml:space="preserve"> 5 %</w:t>
      </w:r>
      <w:r w:rsidR="00CC48FF">
        <w:t xml:space="preserve">, což je jeden z největších rozdílů v rámci všech </w:t>
      </w:r>
      <w:r>
        <w:t>oblastí</w:t>
      </w:r>
      <w:r w:rsidR="00CC48FF">
        <w:t>.</w:t>
      </w:r>
    </w:p>
    <w:p w:rsidR="00567927" w:rsidRPr="00CC48FF" w:rsidRDefault="00567927" w:rsidP="00567927">
      <w:pPr>
        <w:pStyle w:val="Bezmezer"/>
      </w:pPr>
      <w:r w:rsidRPr="00CC48FF">
        <w:t xml:space="preserve">Pokud se blíže podíváme na nejčastěji zmiňovaná témata, která </w:t>
      </w:r>
      <w:r w:rsidR="00CC48FF" w:rsidRPr="00CC48FF">
        <w:t>by školy</w:t>
      </w:r>
      <w:r w:rsidRPr="00CC48FF">
        <w:t xml:space="preserve"> v letech 2016 až 2018 </w:t>
      </w:r>
      <w:r w:rsidR="00CC48FF" w:rsidRPr="00CC48FF">
        <w:t>rády zlepšily</w:t>
      </w:r>
      <w:r w:rsidRPr="00CC48FF">
        <w:t xml:space="preserve">, </w:t>
      </w:r>
      <w:r w:rsidR="00117ADD">
        <w:t>tvoří jejich spo</w:t>
      </w:r>
      <w:r w:rsidR="00117ADD" w:rsidRPr="00223560">
        <w:rPr>
          <w:b/>
        </w:rPr>
        <w:t>lečný jmenovatel snaha o vytvoření kvalitního zázemí přímo v rámci školní výuky</w:t>
      </w:r>
      <w:r w:rsidRPr="00CC48FF">
        <w:t>:</w:t>
      </w:r>
    </w:p>
    <w:p w:rsidR="00567927" w:rsidRPr="00271A77" w:rsidRDefault="006C5331" w:rsidP="00567927">
      <w:pPr>
        <w:pStyle w:val="Nzev"/>
        <w:numPr>
          <w:ilvl w:val="0"/>
          <w:numId w:val="32"/>
        </w:numPr>
        <w:rPr>
          <w:rFonts w:eastAsia="Times New Roman"/>
          <w:lang w:eastAsia="cs-CZ"/>
        </w:rPr>
      </w:pPr>
      <w:r w:rsidRPr="006C5331">
        <w:t xml:space="preserve">Učitelé 1. i 2. stupně rozvíjejí své znalosti v oblasti čtenářské gramotnosti a využívají je ve výuce (kurzy dalšího vzdělávání, </w:t>
      </w:r>
      <w:r w:rsidRPr="00271A77">
        <w:t>studium literatury aj.)</w:t>
      </w:r>
      <w:r w:rsidRPr="00271A77">
        <w:rPr>
          <w:rFonts w:eastAsia="Times New Roman"/>
          <w:lang w:eastAsia="cs-CZ"/>
        </w:rPr>
        <w:t>. (89,5</w:t>
      </w:r>
      <w:r w:rsidR="00567927" w:rsidRPr="00271A77">
        <w:rPr>
          <w:rFonts w:eastAsia="Times New Roman"/>
          <w:lang w:eastAsia="cs-CZ"/>
        </w:rPr>
        <w:t xml:space="preserve"> %)</w:t>
      </w:r>
    </w:p>
    <w:p w:rsidR="00567927" w:rsidRPr="00271A77" w:rsidRDefault="00054738" w:rsidP="00567927">
      <w:pPr>
        <w:pStyle w:val="Nzev"/>
        <w:numPr>
          <w:ilvl w:val="0"/>
          <w:numId w:val="32"/>
        </w:numPr>
        <w:rPr>
          <w:rFonts w:eastAsia="Times New Roman"/>
          <w:lang w:eastAsia="cs-CZ"/>
        </w:rPr>
      </w:pPr>
      <w:r w:rsidRPr="00271A77">
        <w:t>Ve škole existuje čtenářsky podnětné prostředí (čtenářské koutky, nástěnky, prostor s informacemi z oblasti čtenářské gramotnosti apod.)</w:t>
      </w:r>
      <w:r w:rsidR="00271A77">
        <w:t>.</w:t>
      </w:r>
      <w:r w:rsidRPr="00271A77">
        <w:rPr>
          <w:rFonts w:eastAsia="Times New Roman"/>
          <w:lang w:eastAsia="cs-CZ"/>
        </w:rPr>
        <w:t xml:space="preserve"> (89,5</w:t>
      </w:r>
      <w:r w:rsidR="00567927" w:rsidRPr="00271A77">
        <w:rPr>
          <w:rFonts w:eastAsia="Times New Roman"/>
          <w:lang w:eastAsia="cs-CZ"/>
        </w:rPr>
        <w:t xml:space="preserve"> %)</w:t>
      </w:r>
    </w:p>
    <w:p w:rsidR="00567927" w:rsidRPr="00D9094C" w:rsidRDefault="00271A77" w:rsidP="00567927">
      <w:pPr>
        <w:pStyle w:val="Nzev"/>
        <w:numPr>
          <w:ilvl w:val="0"/>
          <w:numId w:val="32"/>
        </w:numPr>
        <w:rPr>
          <w:rFonts w:eastAsia="Times New Roman"/>
          <w:lang w:eastAsia="cs-CZ"/>
        </w:rPr>
      </w:pPr>
      <w:r w:rsidRPr="00271A77">
        <w:t>Škola podporuje rozvoj čtenářské gramotnosti v </w:t>
      </w:r>
      <w:r w:rsidRPr="00D9094C">
        <w:t>rámci školních vzdělávacích programů (má stanoveny konkrétní cíle).</w:t>
      </w:r>
      <w:r w:rsidRPr="00D9094C">
        <w:rPr>
          <w:rFonts w:eastAsia="Times New Roman"/>
          <w:lang w:eastAsia="cs-CZ"/>
        </w:rPr>
        <w:t xml:space="preserve"> (84,2</w:t>
      </w:r>
      <w:r w:rsidR="00567927" w:rsidRPr="00D9094C">
        <w:rPr>
          <w:rFonts w:eastAsia="Times New Roman"/>
          <w:lang w:eastAsia="cs-CZ"/>
        </w:rPr>
        <w:t xml:space="preserve"> %)</w:t>
      </w:r>
    </w:p>
    <w:p w:rsidR="00567927" w:rsidRPr="00177384" w:rsidRDefault="00D9094C" w:rsidP="00567927">
      <w:pPr>
        <w:pStyle w:val="Nzev"/>
        <w:numPr>
          <w:ilvl w:val="0"/>
          <w:numId w:val="32"/>
        </w:numPr>
        <w:rPr>
          <w:rFonts w:eastAsia="Times New Roman"/>
          <w:lang w:eastAsia="cs-CZ"/>
        </w:rPr>
      </w:pPr>
      <w:r w:rsidRPr="00D9094C">
        <w:t xml:space="preserve">Učitelé 1. i 2. stupně využívají poznatků v praxi a sdílejí dobrou </w:t>
      </w:r>
      <w:r w:rsidRPr="00177384">
        <w:t>praxi v oblasti rozvoje čtenářské gramotnosti mezi sebou i s učiteli z jiných škol.</w:t>
      </w:r>
      <w:r w:rsidR="00567927" w:rsidRPr="00177384">
        <w:rPr>
          <w:rFonts w:eastAsia="Times New Roman"/>
          <w:lang w:eastAsia="cs-CZ"/>
        </w:rPr>
        <w:t xml:space="preserve"> (</w:t>
      </w:r>
      <w:r w:rsidRPr="00177384">
        <w:rPr>
          <w:rFonts w:eastAsia="Times New Roman"/>
          <w:lang w:eastAsia="cs-CZ"/>
        </w:rPr>
        <w:t>84</w:t>
      </w:r>
      <w:r w:rsidR="00567927" w:rsidRPr="00177384">
        <w:rPr>
          <w:rFonts w:eastAsia="Times New Roman"/>
          <w:lang w:eastAsia="cs-CZ"/>
        </w:rPr>
        <w:t>,</w:t>
      </w:r>
      <w:r w:rsidRPr="00177384">
        <w:rPr>
          <w:rFonts w:eastAsia="Times New Roman"/>
          <w:lang w:eastAsia="cs-CZ"/>
        </w:rPr>
        <w:t>2</w:t>
      </w:r>
      <w:r w:rsidR="00567927" w:rsidRPr="00177384">
        <w:rPr>
          <w:rFonts w:eastAsia="Times New Roman"/>
          <w:lang w:eastAsia="cs-CZ"/>
        </w:rPr>
        <w:t xml:space="preserve"> %)</w:t>
      </w:r>
    </w:p>
    <w:p w:rsidR="00567927" w:rsidRPr="00177384" w:rsidRDefault="00177384" w:rsidP="00567927">
      <w:pPr>
        <w:pStyle w:val="Nzev"/>
        <w:numPr>
          <w:ilvl w:val="0"/>
          <w:numId w:val="32"/>
        </w:numPr>
        <w:rPr>
          <w:rFonts w:eastAsia="Times New Roman"/>
          <w:lang w:eastAsia="cs-CZ"/>
        </w:rPr>
      </w:pPr>
      <w:r w:rsidRPr="00177384">
        <w:t>Škola podporuje základní znalosti a dovednosti, základní práce s textem (od prostého porozumění textu k vyhledávání titulů v knihovně podle potřeb žáků).</w:t>
      </w:r>
      <w:r w:rsidRPr="00177384">
        <w:rPr>
          <w:rFonts w:eastAsia="Times New Roman"/>
          <w:lang w:eastAsia="cs-CZ"/>
        </w:rPr>
        <w:t xml:space="preserve"> (84,2</w:t>
      </w:r>
      <w:r w:rsidR="00567927" w:rsidRPr="00177384">
        <w:rPr>
          <w:rFonts w:eastAsia="Times New Roman"/>
          <w:lang w:eastAsia="cs-CZ"/>
        </w:rPr>
        <w:t xml:space="preserve"> %)</w:t>
      </w:r>
    </w:p>
    <w:p w:rsidR="00567927" w:rsidRPr="00177384" w:rsidRDefault="00177384" w:rsidP="00567927">
      <w:pPr>
        <w:pStyle w:val="Nzev"/>
        <w:numPr>
          <w:ilvl w:val="0"/>
          <w:numId w:val="32"/>
        </w:numPr>
        <w:rPr>
          <w:rFonts w:eastAsia="Times New Roman"/>
          <w:lang w:eastAsia="cs-CZ"/>
        </w:rPr>
      </w:pPr>
      <w:r w:rsidRPr="00177384">
        <w:t>Škola podporuje individuální práci s žáky s mimořádným zájmem o literaturu, tvůrčí psaní atp.</w:t>
      </w:r>
      <w:r w:rsidRPr="00177384">
        <w:rPr>
          <w:rFonts w:eastAsia="Times New Roman"/>
          <w:lang w:eastAsia="cs-CZ"/>
        </w:rPr>
        <w:t xml:space="preserve"> (</w:t>
      </w:r>
      <w:r w:rsidR="00567927" w:rsidRPr="00177384">
        <w:rPr>
          <w:rFonts w:eastAsia="Times New Roman"/>
          <w:lang w:eastAsia="cs-CZ"/>
        </w:rPr>
        <w:t>8</w:t>
      </w:r>
      <w:r w:rsidRPr="00177384">
        <w:rPr>
          <w:rFonts w:eastAsia="Times New Roman"/>
          <w:lang w:eastAsia="cs-CZ"/>
        </w:rPr>
        <w:t>4,2</w:t>
      </w:r>
      <w:r w:rsidR="00567927" w:rsidRPr="00177384">
        <w:rPr>
          <w:rFonts w:eastAsia="Times New Roman"/>
          <w:lang w:eastAsia="cs-CZ"/>
        </w:rPr>
        <w:t xml:space="preserve"> %)</w:t>
      </w:r>
    </w:p>
    <w:p w:rsidR="00567927" w:rsidRPr="00177384" w:rsidRDefault="00177384" w:rsidP="00567927">
      <w:pPr>
        <w:pStyle w:val="Nzev"/>
        <w:numPr>
          <w:ilvl w:val="0"/>
          <w:numId w:val="32"/>
        </w:numPr>
        <w:rPr>
          <w:rFonts w:eastAsia="Times New Roman"/>
          <w:lang w:eastAsia="cs-CZ"/>
        </w:rPr>
      </w:pPr>
      <w:r w:rsidRPr="00177384">
        <w:t xml:space="preserve">Škola disponuje dostatečným technickým a materiálním zabezpečením v oblasti čtenářské gramotnosti např. pro </w:t>
      </w:r>
      <w:r w:rsidR="00ED5ED0">
        <w:t xml:space="preserve">vystavování prací žáků (včetně </w:t>
      </w:r>
      <w:r w:rsidRPr="00177384">
        <w:t xml:space="preserve">audiovizuální </w:t>
      </w:r>
      <w:proofErr w:type="gramStart"/>
      <w:r w:rsidRPr="00177384">
        <w:t xml:space="preserve">techniky). </w:t>
      </w:r>
      <w:r w:rsidRPr="00177384">
        <w:rPr>
          <w:rFonts w:eastAsia="Times New Roman"/>
          <w:lang w:eastAsia="cs-CZ"/>
        </w:rPr>
        <w:t xml:space="preserve"> (</w:t>
      </w:r>
      <w:r w:rsidR="00567927" w:rsidRPr="00177384">
        <w:rPr>
          <w:rFonts w:eastAsia="Times New Roman"/>
          <w:lang w:eastAsia="cs-CZ"/>
        </w:rPr>
        <w:t>8</w:t>
      </w:r>
      <w:r w:rsidRPr="00177384">
        <w:rPr>
          <w:rFonts w:eastAsia="Times New Roman"/>
          <w:lang w:eastAsia="cs-CZ"/>
        </w:rPr>
        <w:t>4,2</w:t>
      </w:r>
      <w:proofErr w:type="gramEnd"/>
      <w:r w:rsidR="00567927" w:rsidRPr="00177384">
        <w:rPr>
          <w:rFonts w:eastAsia="Times New Roman"/>
          <w:lang w:eastAsia="cs-CZ"/>
        </w:rPr>
        <w:t xml:space="preserve"> %)</w:t>
      </w:r>
    </w:p>
    <w:p w:rsidR="00117ADD" w:rsidRPr="00117ADD" w:rsidRDefault="00117ADD" w:rsidP="00567927">
      <w:pPr>
        <w:pStyle w:val="Bezmezer"/>
        <w:rPr>
          <w:lang w:eastAsia="cs-CZ"/>
        </w:rPr>
      </w:pPr>
      <w:r w:rsidRPr="00117ADD">
        <w:rPr>
          <w:lang w:eastAsia="cs-CZ"/>
        </w:rPr>
        <w:lastRenderedPageBreak/>
        <w:t>N</w:t>
      </w:r>
      <w:r w:rsidR="00567927" w:rsidRPr="00117ADD">
        <w:rPr>
          <w:lang w:eastAsia="cs-CZ"/>
        </w:rPr>
        <w:t>ej</w:t>
      </w:r>
      <w:r w:rsidRPr="00117ADD">
        <w:rPr>
          <w:lang w:eastAsia="cs-CZ"/>
        </w:rPr>
        <w:t xml:space="preserve">nižší (avšak i tak na poměry velmi vysoký!) </w:t>
      </w:r>
      <w:r w:rsidR="00567927" w:rsidRPr="00117ADD">
        <w:rPr>
          <w:lang w:eastAsia="cs-CZ"/>
        </w:rPr>
        <w:t xml:space="preserve">zájem je o </w:t>
      </w:r>
      <w:r w:rsidRPr="00117ADD">
        <w:rPr>
          <w:lang w:eastAsia="cs-CZ"/>
        </w:rPr>
        <w:t>využívání „externí“ knihovny a rozvoj čtenářských mimoškolních aktivit</w:t>
      </w:r>
      <w:r w:rsidR="00223560">
        <w:rPr>
          <w:lang w:eastAsia="cs-CZ"/>
        </w:rPr>
        <w:t xml:space="preserve"> (shodně 68,4 %)</w:t>
      </w:r>
      <w:r w:rsidRPr="00117ADD">
        <w:rPr>
          <w:lang w:eastAsia="cs-CZ"/>
        </w:rPr>
        <w:t>.</w:t>
      </w:r>
      <w:r w:rsidR="00223560">
        <w:rPr>
          <w:lang w:eastAsia="cs-CZ"/>
        </w:rPr>
        <w:t xml:space="preserve"> Vzhledem k tomu, že jednu z nejvyšších priorit má naopak existence „čtenářsky podnětného prostředí“, lze usuzovat, že </w:t>
      </w:r>
      <w:r w:rsidR="00223560" w:rsidRPr="00223560">
        <w:rPr>
          <w:b/>
          <w:lang w:eastAsia="cs-CZ"/>
        </w:rPr>
        <w:t>jako problém se školám jeví ona „</w:t>
      </w:r>
      <w:proofErr w:type="spellStart"/>
      <w:r w:rsidR="00223560" w:rsidRPr="00223560">
        <w:rPr>
          <w:b/>
          <w:lang w:eastAsia="cs-CZ"/>
        </w:rPr>
        <w:t>mimoškolnost</w:t>
      </w:r>
      <w:proofErr w:type="spellEnd"/>
      <w:r w:rsidR="00223560" w:rsidRPr="00223560">
        <w:rPr>
          <w:b/>
          <w:lang w:eastAsia="cs-CZ"/>
        </w:rPr>
        <w:t>“ aktivit, která představuje další časovou, finanční a především personální náročnost</w:t>
      </w:r>
      <w:r w:rsidR="00223560">
        <w:rPr>
          <w:lang w:eastAsia="cs-CZ"/>
        </w:rPr>
        <w:t>.</w:t>
      </w:r>
    </w:p>
    <w:p w:rsidR="009D1458" w:rsidRPr="00567927" w:rsidRDefault="00567927" w:rsidP="00567927">
      <w:pPr>
        <w:pStyle w:val="Nadpis5"/>
      </w:pPr>
      <w:r w:rsidRPr="00567927">
        <w:t>Tabulka: Čtenářská gramotnost</w:t>
      </w:r>
    </w:p>
    <w:tbl>
      <w:tblPr>
        <w:tblW w:w="9224" w:type="dxa"/>
        <w:tblInd w:w="60" w:type="dxa"/>
        <w:tblLayout w:type="fixed"/>
        <w:tblCellMar>
          <w:left w:w="70" w:type="dxa"/>
          <w:right w:w="70" w:type="dxa"/>
        </w:tblCellMar>
        <w:tblLook w:val="04A0"/>
      </w:tblPr>
      <w:tblGrid>
        <w:gridCol w:w="5113"/>
        <w:gridCol w:w="993"/>
        <w:gridCol w:w="992"/>
        <w:gridCol w:w="992"/>
        <w:gridCol w:w="567"/>
        <w:gridCol w:w="567"/>
      </w:tblGrid>
      <w:tr w:rsidR="005D22FB" w:rsidRPr="00567927" w:rsidTr="00DF4192">
        <w:trPr>
          <w:trHeight w:val="227"/>
        </w:trPr>
        <w:tc>
          <w:tcPr>
            <w:tcW w:w="5113" w:type="dxa"/>
            <w:vMerge w:val="restart"/>
            <w:tcBorders>
              <w:bottom w:val="single" w:sz="4" w:space="0" w:color="000000"/>
              <w:right w:val="single" w:sz="4" w:space="0" w:color="auto"/>
            </w:tcBorders>
            <w:shd w:val="clear" w:color="000000" w:fill="F4B082"/>
            <w:vAlign w:val="center"/>
            <w:hideMark/>
          </w:tcPr>
          <w:p w:rsidR="00567927" w:rsidRPr="00567927" w:rsidRDefault="00567927" w:rsidP="00B554CA">
            <w:pPr>
              <w:pStyle w:val="Nzev"/>
              <w:jc w:val="left"/>
            </w:pPr>
          </w:p>
        </w:tc>
        <w:tc>
          <w:tcPr>
            <w:tcW w:w="1985" w:type="dxa"/>
            <w:gridSpan w:val="2"/>
            <w:tcBorders>
              <w:left w:val="nil"/>
              <w:bottom w:val="nil"/>
              <w:right w:val="single" w:sz="4" w:space="0" w:color="000000"/>
            </w:tcBorders>
            <w:shd w:val="clear" w:color="000000" w:fill="F4B082"/>
            <w:vAlign w:val="bottom"/>
            <w:hideMark/>
          </w:tcPr>
          <w:p w:rsidR="00567927" w:rsidRPr="00567927" w:rsidRDefault="00567927" w:rsidP="00B554CA">
            <w:pPr>
              <w:pStyle w:val="Nzev"/>
              <w:jc w:val="center"/>
            </w:pPr>
            <w:r w:rsidRPr="00567927">
              <w:t xml:space="preserve">Podíl ZŠ v rámci </w:t>
            </w:r>
            <w:r>
              <w:t xml:space="preserve">SO </w:t>
            </w:r>
            <w:r w:rsidRPr="00567927">
              <w:t>ORP plánujících zlepšení</w:t>
            </w:r>
          </w:p>
        </w:tc>
        <w:tc>
          <w:tcPr>
            <w:tcW w:w="2126" w:type="dxa"/>
            <w:gridSpan w:val="3"/>
            <w:tcBorders>
              <w:left w:val="nil"/>
              <w:bottom w:val="nil"/>
            </w:tcBorders>
            <w:shd w:val="clear" w:color="000000" w:fill="F4B082"/>
            <w:vAlign w:val="center"/>
            <w:hideMark/>
          </w:tcPr>
          <w:p w:rsidR="00567927" w:rsidRPr="00567927" w:rsidRDefault="00567927" w:rsidP="00B554CA">
            <w:pPr>
              <w:pStyle w:val="Nzev"/>
              <w:jc w:val="center"/>
            </w:pPr>
            <w:r w:rsidRPr="00567927">
              <w:t>Průměrné hodnocení aktuálního stavu</w:t>
            </w:r>
          </w:p>
        </w:tc>
      </w:tr>
      <w:tr w:rsidR="005D22FB" w:rsidRPr="00567927" w:rsidTr="00DF4192">
        <w:trPr>
          <w:trHeight w:val="227"/>
        </w:trPr>
        <w:tc>
          <w:tcPr>
            <w:tcW w:w="5113" w:type="dxa"/>
            <w:vMerge/>
            <w:tcBorders>
              <w:top w:val="single" w:sz="8" w:space="0" w:color="auto"/>
              <w:bottom w:val="single" w:sz="4" w:space="0" w:color="000000"/>
              <w:right w:val="single" w:sz="4" w:space="0" w:color="auto"/>
            </w:tcBorders>
            <w:vAlign w:val="center"/>
            <w:hideMark/>
          </w:tcPr>
          <w:p w:rsidR="00567927" w:rsidRPr="00567927" w:rsidRDefault="00567927" w:rsidP="00B554CA">
            <w:pPr>
              <w:pStyle w:val="Nzev"/>
              <w:jc w:val="left"/>
            </w:pPr>
          </w:p>
        </w:tc>
        <w:tc>
          <w:tcPr>
            <w:tcW w:w="993" w:type="dxa"/>
            <w:tcBorders>
              <w:top w:val="single" w:sz="4" w:space="0" w:color="auto"/>
              <w:left w:val="nil"/>
              <w:bottom w:val="single" w:sz="4" w:space="0" w:color="auto"/>
              <w:right w:val="single" w:sz="4" w:space="0" w:color="auto"/>
            </w:tcBorders>
            <w:shd w:val="clear" w:color="000000" w:fill="F4B082"/>
            <w:vAlign w:val="center"/>
            <w:hideMark/>
          </w:tcPr>
          <w:p w:rsidR="00567927" w:rsidRPr="00567927" w:rsidRDefault="00567927" w:rsidP="00B554CA">
            <w:pPr>
              <w:pStyle w:val="Nzev"/>
              <w:jc w:val="center"/>
            </w:pPr>
            <w:r>
              <w:t>2016–</w:t>
            </w:r>
            <w:r w:rsidRPr="00567927">
              <w:t>18</w:t>
            </w:r>
          </w:p>
        </w:tc>
        <w:tc>
          <w:tcPr>
            <w:tcW w:w="992" w:type="dxa"/>
            <w:tcBorders>
              <w:top w:val="single" w:sz="4" w:space="0" w:color="auto"/>
              <w:left w:val="nil"/>
              <w:bottom w:val="single" w:sz="4" w:space="0" w:color="auto"/>
              <w:right w:val="single" w:sz="4" w:space="0" w:color="auto"/>
            </w:tcBorders>
            <w:shd w:val="clear" w:color="000000" w:fill="F4B082"/>
            <w:vAlign w:val="center"/>
            <w:hideMark/>
          </w:tcPr>
          <w:p w:rsidR="00567927" w:rsidRPr="00567927" w:rsidRDefault="00567927" w:rsidP="00B554CA">
            <w:pPr>
              <w:pStyle w:val="Nzev"/>
              <w:jc w:val="center"/>
            </w:pPr>
            <w:r>
              <w:t>2019–</w:t>
            </w:r>
            <w:r w:rsidRPr="00567927">
              <w:t>20</w:t>
            </w:r>
          </w:p>
        </w:tc>
        <w:tc>
          <w:tcPr>
            <w:tcW w:w="992" w:type="dxa"/>
            <w:tcBorders>
              <w:top w:val="single" w:sz="4" w:space="0" w:color="auto"/>
              <w:left w:val="nil"/>
              <w:bottom w:val="single" w:sz="4" w:space="0" w:color="auto"/>
              <w:right w:val="nil"/>
            </w:tcBorders>
            <w:shd w:val="clear" w:color="000000" w:fill="F4B082"/>
            <w:vAlign w:val="center"/>
            <w:hideMark/>
          </w:tcPr>
          <w:p w:rsidR="00567927" w:rsidRPr="00567927" w:rsidRDefault="005D22FB" w:rsidP="00B554CA">
            <w:pPr>
              <w:pStyle w:val="Nzev"/>
              <w:jc w:val="center"/>
            </w:pPr>
            <w:r>
              <w:t xml:space="preserve">SO </w:t>
            </w:r>
            <w:r w:rsidR="00567927" w:rsidRPr="00567927">
              <w:t>ORP</w:t>
            </w:r>
          </w:p>
        </w:tc>
        <w:tc>
          <w:tcPr>
            <w:tcW w:w="567" w:type="dxa"/>
            <w:tcBorders>
              <w:top w:val="single" w:sz="4" w:space="0" w:color="auto"/>
              <w:left w:val="single" w:sz="4" w:space="0" w:color="auto"/>
              <w:bottom w:val="single" w:sz="4" w:space="0" w:color="auto"/>
              <w:right w:val="single" w:sz="4" w:space="0" w:color="000000"/>
            </w:tcBorders>
            <w:shd w:val="clear" w:color="000000" w:fill="F4B082"/>
            <w:vAlign w:val="center"/>
            <w:hideMark/>
          </w:tcPr>
          <w:p w:rsidR="00567927" w:rsidRPr="00567927" w:rsidRDefault="00567927" w:rsidP="00B554CA">
            <w:pPr>
              <w:pStyle w:val="Nzev"/>
              <w:jc w:val="center"/>
            </w:pPr>
            <w:r w:rsidRPr="00567927">
              <w:t>kraj</w:t>
            </w:r>
          </w:p>
        </w:tc>
        <w:tc>
          <w:tcPr>
            <w:tcW w:w="567" w:type="dxa"/>
            <w:tcBorders>
              <w:top w:val="single" w:sz="4" w:space="0" w:color="auto"/>
              <w:left w:val="nil"/>
              <w:bottom w:val="single" w:sz="4" w:space="0" w:color="auto"/>
            </w:tcBorders>
            <w:shd w:val="clear" w:color="000000" w:fill="F4B082"/>
            <w:vAlign w:val="center"/>
            <w:hideMark/>
          </w:tcPr>
          <w:p w:rsidR="00567927" w:rsidRPr="00567927" w:rsidRDefault="00567927" w:rsidP="00B554CA">
            <w:pPr>
              <w:pStyle w:val="Nzev"/>
              <w:jc w:val="center"/>
            </w:pPr>
            <w:r w:rsidRPr="00567927">
              <w:t>ČR</w:t>
            </w:r>
          </w:p>
        </w:tc>
      </w:tr>
      <w:tr w:rsidR="005D22FB" w:rsidRPr="00567927" w:rsidTr="00DF4192">
        <w:trPr>
          <w:trHeight w:val="227"/>
        </w:trPr>
        <w:tc>
          <w:tcPr>
            <w:tcW w:w="5113" w:type="dxa"/>
            <w:tcBorders>
              <w:top w:val="nil"/>
              <w:bottom w:val="nil"/>
              <w:right w:val="single" w:sz="4" w:space="0" w:color="auto"/>
            </w:tcBorders>
            <w:shd w:val="clear" w:color="auto" w:fill="auto"/>
            <w:vAlign w:val="center"/>
            <w:hideMark/>
          </w:tcPr>
          <w:p w:rsidR="00567927" w:rsidRPr="00567927" w:rsidRDefault="00567927" w:rsidP="00B554CA">
            <w:pPr>
              <w:pStyle w:val="Nzev"/>
              <w:jc w:val="left"/>
            </w:pPr>
            <w:r w:rsidRPr="00567927">
              <w:t>Škola podporuje rozvoj čtenářské gramotnosti v rámci školních vzdělávacích programů (má stanoveny konkrétní cíle)</w:t>
            </w:r>
          </w:p>
        </w:tc>
        <w:tc>
          <w:tcPr>
            <w:tcW w:w="993" w:type="dxa"/>
            <w:tcBorders>
              <w:top w:val="single" w:sz="4" w:space="0" w:color="auto"/>
              <w:left w:val="nil"/>
              <w:bottom w:val="nil"/>
              <w:right w:val="single" w:sz="4" w:space="0" w:color="auto"/>
            </w:tcBorders>
            <w:shd w:val="clear" w:color="000000" w:fill="C6EFCE"/>
            <w:vAlign w:val="center"/>
            <w:hideMark/>
          </w:tcPr>
          <w:p w:rsidR="00567927" w:rsidRPr="00567927" w:rsidRDefault="00567927" w:rsidP="00B554CA">
            <w:pPr>
              <w:pStyle w:val="Nzev"/>
              <w:jc w:val="center"/>
            </w:pPr>
            <w:r w:rsidRPr="00567927">
              <w:t>84,2%</w:t>
            </w:r>
          </w:p>
        </w:tc>
        <w:tc>
          <w:tcPr>
            <w:tcW w:w="992" w:type="dxa"/>
            <w:tcBorders>
              <w:top w:val="nil"/>
              <w:left w:val="nil"/>
              <w:bottom w:val="nil"/>
              <w:right w:val="single" w:sz="4" w:space="0" w:color="auto"/>
            </w:tcBorders>
            <w:shd w:val="clear" w:color="000000" w:fill="FFFFFF"/>
            <w:vAlign w:val="center"/>
            <w:hideMark/>
          </w:tcPr>
          <w:p w:rsidR="00567927" w:rsidRPr="00567927" w:rsidRDefault="00567927" w:rsidP="00B554CA">
            <w:pPr>
              <w:pStyle w:val="Nzev"/>
              <w:jc w:val="center"/>
            </w:pPr>
            <w:r w:rsidRPr="00567927">
              <w:t>0,0%</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3,00</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2,91</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2,88</w:t>
            </w:r>
          </w:p>
        </w:tc>
      </w:tr>
      <w:tr w:rsidR="005D22FB" w:rsidRPr="00567927" w:rsidTr="00DF4192">
        <w:trPr>
          <w:trHeight w:val="227"/>
        </w:trPr>
        <w:tc>
          <w:tcPr>
            <w:tcW w:w="5113" w:type="dxa"/>
            <w:tcBorders>
              <w:top w:val="single" w:sz="4" w:space="0" w:color="auto"/>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Učitelé 1. i 2. stupně rozvíjejí své znalosti v oblasti čtenářské gramotnosti a využívají je ve výuce (kurzy dalšího vzdělávání, studium literatury aj.)</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rsidR="00567927" w:rsidRPr="00567927" w:rsidRDefault="00567927" w:rsidP="00B554CA">
            <w:pPr>
              <w:pStyle w:val="Nzev"/>
              <w:jc w:val="center"/>
            </w:pPr>
            <w:r w:rsidRPr="00567927">
              <w:t>89,5%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0,0%</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2,79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2,77</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2,76</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Učitelé 1. i 2. stupně využívají poznatků v praxi a sdílejí dobrou praxi v oblasti rozvoje čtenářské gramotnosti mezi sebou i s učiteli z jiných škol</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rsidR="00567927" w:rsidRPr="00567927" w:rsidRDefault="00567927" w:rsidP="00B554CA">
            <w:pPr>
              <w:pStyle w:val="Nzev"/>
              <w:jc w:val="center"/>
            </w:pPr>
            <w:r w:rsidRPr="00567927">
              <w:t>84,2%</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5,3%</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2,53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2,38</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2,39</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Škola podporuje základní znalosti a dovednosti, základní práce s textem (od prostého porozumění textu k vyhledávání titulů v knihovně podle potřeb žáků)</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rsidR="00567927" w:rsidRPr="00567927" w:rsidRDefault="00567927" w:rsidP="00B554CA">
            <w:pPr>
              <w:pStyle w:val="Nzev"/>
              <w:jc w:val="center"/>
            </w:pPr>
            <w:r w:rsidRPr="00567927">
              <w:t>84,2%</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5,3%</w:t>
            </w:r>
          </w:p>
        </w:tc>
        <w:tc>
          <w:tcPr>
            <w:tcW w:w="992" w:type="dxa"/>
            <w:tcBorders>
              <w:top w:val="single" w:sz="4" w:space="0" w:color="auto"/>
              <w:left w:val="single" w:sz="4" w:space="0" w:color="auto"/>
              <w:bottom w:val="single" w:sz="4" w:space="0" w:color="auto"/>
              <w:right w:val="nil"/>
            </w:tcBorders>
            <w:shd w:val="clear" w:color="000000" w:fill="FFC7CE"/>
            <w:vAlign w:val="center"/>
            <w:hideMark/>
          </w:tcPr>
          <w:p w:rsidR="00567927" w:rsidRPr="00567927" w:rsidRDefault="00567927" w:rsidP="00B554CA">
            <w:pPr>
              <w:pStyle w:val="Nzev"/>
              <w:jc w:val="center"/>
            </w:pPr>
            <w:r w:rsidRPr="00567927">
              <w:t>2,89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2,95</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2,92</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 xml:space="preserve">Škola podporuje vyšší stupeň komplexního čtenářství (od chápání kontextu, vyvozování a formulace závěrů z textu, porovnávání zdrojů apod.) </w:t>
            </w:r>
          </w:p>
        </w:tc>
        <w:tc>
          <w:tcPr>
            <w:tcW w:w="993"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78,9%</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10,5%</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2,53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2,54</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2,52</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Škola podporuje individuální práci s žáky s mimořádným zájmem o literaturu, tvůrčí psaní atp.</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rsidR="00567927" w:rsidRPr="00567927" w:rsidRDefault="00567927" w:rsidP="00B554CA">
            <w:pPr>
              <w:pStyle w:val="Nzev"/>
              <w:jc w:val="center"/>
            </w:pPr>
            <w:r w:rsidRPr="00567927">
              <w:t>84,2%</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0,0%</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2,32</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2,22</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2,18</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Ve škole existuje a/nebo je využívána knihovna (školní, místní) přístupná podle potřeb a možností žáků</w:t>
            </w:r>
          </w:p>
        </w:tc>
        <w:tc>
          <w:tcPr>
            <w:tcW w:w="993"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68,4%</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10,5%</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2,84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2,76</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2,83</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Ve škole se realizují čtenářské kroužky/pravidelné dílny čtení/jiné pravidelné mimoškolní aktivity na podporu a rozvoj čtenářské gramotnosti</w:t>
            </w:r>
          </w:p>
        </w:tc>
        <w:tc>
          <w:tcPr>
            <w:tcW w:w="993"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68,4%</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10,5%</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2,16</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2,08</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2,02</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 xml:space="preserve">Ve škole jsou realizovány </w:t>
            </w:r>
            <w:proofErr w:type="spellStart"/>
            <w:r w:rsidRPr="00567927">
              <w:t>mimovýukové</w:t>
            </w:r>
            <w:proofErr w:type="spellEnd"/>
            <w:r w:rsidRPr="00567927">
              <w:t xml:space="preserve"> akce pro žáky na podporu čtenářské gramotnosti a zvýšení motivace (např. projektové dny, realizace autorských </w:t>
            </w:r>
            <w:r w:rsidRPr="00567927">
              <w:br/>
              <w:t>čtení, výstavy knih …)</w:t>
            </w:r>
          </w:p>
        </w:tc>
        <w:tc>
          <w:tcPr>
            <w:tcW w:w="993"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78,9%</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0,0%</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2,32</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2,22</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2,19</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 xml:space="preserve">Škola informuje a spolupracuje v oblasti rozvoje čtenářství s rodiči (prezentace služeb školní / obecní knihovny, existence čtenářských kroužků, aktivit v oblasti </w:t>
            </w:r>
            <w:r w:rsidRPr="00567927">
              <w:br/>
              <w:t>čtení, čtenářského klubu – např. projektové dny, dny otevřených dveří, vánoční trhy apod.)</w:t>
            </w:r>
          </w:p>
        </w:tc>
        <w:tc>
          <w:tcPr>
            <w:tcW w:w="993"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78,9%</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0,0%</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2,58</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2,22</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2,19</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Ve škole existuje čtenářsky podnětné prostředí (čtenářské koutky, nástěnky, prostor s informacemi z oblasti čtenářské gramotnosti apod.)</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rsidR="00567927" w:rsidRPr="00567927" w:rsidRDefault="00567927" w:rsidP="00B554CA">
            <w:pPr>
              <w:pStyle w:val="Nzev"/>
              <w:jc w:val="center"/>
            </w:pPr>
            <w:r w:rsidRPr="00567927">
              <w:t>89,5%</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0,0%</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2,47</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2,35</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2,28</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 xml:space="preserve">Škola disponuje dostatečným technickým a materiálním zabezpečením v oblasti čtenářské gramotnosti např. pro vystavování prací žáků (včetně </w:t>
            </w:r>
            <w:r w:rsidRPr="00567927">
              <w:br/>
              <w:t xml:space="preserve">audiovizuální techniky) </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rsidR="00567927" w:rsidRPr="00567927" w:rsidRDefault="00567927" w:rsidP="00B554CA">
            <w:pPr>
              <w:pStyle w:val="Nzev"/>
              <w:jc w:val="center"/>
            </w:pPr>
            <w:r w:rsidRPr="00567927">
              <w:t>84,2%</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5,3%</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2,63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2,32</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2,34</w:t>
            </w:r>
          </w:p>
        </w:tc>
      </w:tr>
      <w:tr w:rsidR="005D22FB" w:rsidRPr="00567927" w:rsidTr="00DF4192">
        <w:trPr>
          <w:trHeight w:val="227"/>
        </w:trPr>
        <w:tc>
          <w:tcPr>
            <w:tcW w:w="5113" w:type="dxa"/>
            <w:tcBorders>
              <w:top w:val="nil"/>
              <w:bottom w:val="single" w:sz="4" w:space="0" w:color="auto"/>
              <w:right w:val="single" w:sz="4" w:space="0" w:color="auto"/>
            </w:tcBorders>
            <w:shd w:val="clear" w:color="auto" w:fill="auto"/>
            <w:vAlign w:val="center"/>
            <w:hideMark/>
          </w:tcPr>
          <w:p w:rsidR="00567927" w:rsidRPr="00567927" w:rsidRDefault="00567927" w:rsidP="00B554CA">
            <w:pPr>
              <w:pStyle w:val="Nzev"/>
              <w:jc w:val="left"/>
            </w:pPr>
            <w:r w:rsidRPr="00567927">
              <w:t>Ve škole jsou využívána interaktivní média, informační a komunikační technologie v oblasti rozvoje čtenářské gramotnosti</w:t>
            </w:r>
          </w:p>
        </w:tc>
        <w:tc>
          <w:tcPr>
            <w:tcW w:w="993"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73,7%</w:t>
            </w:r>
          </w:p>
        </w:tc>
        <w:tc>
          <w:tcPr>
            <w:tcW w:w="992" w:type="dxa"/>
            <w:tcBorders>
              <w:top w:val="nil"/>
              <w:left w:val="nil"/>
              <w:bottom w:val="single" w:sz="4" w:space="0" w:color="auto"/>
              <w:right w:val="single" w:sz="4" w:space="0" w:color="auto"/>
            </w:tcBorders>
            <w:shd w:val="clear" w:color="000000" w:fill="FFFFFF"/>
            <w:vAlign w:val="center"/>
            <w:hideMark/>
          </w:tcPr>
          <w:p w:rsidR="00567927" w:rsidRPr="00567927" w:rsidRDefault="00567927" w:rsidP="00B554CA">
            <w:pPr>
              <w:pStyle w:val="Nzev"/>
              <w:jc w:val="center"/>
            </w:pPr>
            <w:r w:rsidRPr="00567927">
              <w:t>21,1%</w:t>
            </w:r>
          </w:p>
        </w:tc>
        <w:tc>
          <w:tcPr>
            <w:tcW w:w="992" w:type="dxa"/>
            <w:tcBorders>
              <w:top w:val="single" w:sz="4" w:space="0" w:color="auto"/>
              <w:left w:val="nil"/>
              <w:bottom w:val="single" w:sz="4" w:space="0" w:color="auto"/>
              <w:right w:val="nil"/>
            </w:tcBorders>
            <w:shd w:val="clear" w:color="000000" w:fill="FFFFFF"/>
            <w:vAlign w:val="center"/>
            <w:hideMark/>
          </w:tcPr>
          <w:p w:rsidR="00567927" w:rsidRPr="00567927" w:rsidRDefault="00567927" w:rsidP="00B554CA">
            <w:pPr>
              <w:pStyle w:val="Nzev"/>
              <w:jc w:val="center"/>
            </w:pPr>
            <w:r w:rsidRPr="00567927">
              <w:t>2,89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2,70</w:t>
            </w:r>
          </w:p>
        </w:tc>
        <w:tc>
          <w:tcPr>
            <w:tcW w:w="567" w:type="dxa"/>
            <w:tcBorders>
              <w:top w:val="single" w:sz="4" w:space="0" w:color="auto"/>
              <w:left w:val="nil"/>
              <w:bottom w:val="single" w:sz="4" w:space="0" w:color="auto"/>
            </w:tcBorders>
            <w:shd w:val="clear" w:color="000000" w:fill="FFFFFF"/>
            <w:vAlign w:val="center"/>
            <w:hideMark/>
          </w:tcPr>
          <w:p w:rsidR="00567927" w:rsidRPr="00567927" w:rsidRDefault="00567927" w:rsidP="00B554CA">
            <w:pPr>
              <w:pStyle w:val="Nzev"/>
              <w:jc w:val="center"/>
            </w:pPr>
            <w:r w:rsidRPr="00567927">
              <w:t>2,63</w:t>
            </w:r>
          </w:p>
        </w:tc>
      </w:tr>
      <w:tr w:rsidR="005D22FB" w:rsidRPr="00567927" w:rsidTr="00DF4192">
        <w:trPr>
          <w:trHeight w:val="227"/>
        </w:trPr>
        <w:tc>
          <w:tcPr>
            <w:tcW w:w="5113" w:type="dxa"/>
            <w:tcBorders>
              <w:top w:val="nil"/>
              <w:right w:val="single" w:sz="4" w:space="0" w:color="auto"/>
            </w:tcBorders>
            <w:shd w:val="clear" w:color="auto" w:fill="auto"/>
            <w:vAlign w:val="center"/>
            <w:hideMark/>
          </w:tcPr>
          <w:p w:rsidR="00567927" w:rsidRPr="00567927" w:rsidRDefault="00567927" w:rsidP="00B554CA">
            <w:pPr>
              <w:pStyle w:val="Nzev"/>
              <w:jc w:val="left"/>
            </w:pPr>
            <w:r w:rsidRPr="00567927">
              <w:t>Škola pravidelně nakupuje aktuální beletrii a další literaturu, multimédia pro rozvoj čtenářské gramotnosti na 1. i 2. stupni ZŠ</w:t>
            </w:r>
          </w:p>
        </w:tc>
        <w:tc>
          <w:tcPr>
            <w:tcW w:w="993" w:type="dxa"/>
            <w:tcBorders>
              <w:top w:val="nil"/>
              <w:left w:val="nil"/>
              <w:right w:val="single" w:sz="4" w:space="0" w:color="auto"/>
            </w:tcBorders>
            <w:shd w:val="clear" w:color="000000" w:fill="FFFFFF"/>
            <w:vAlign w:val="center"/>
            <w:hideMark/>
          </w:tcPr>
          <w:p w:rsidR="00567927" w:rsidRPr="00567927" w:rsidRDefault="00567927" w:rsidP="00B554CA">
            <w:pPr>
              <w:pStyle w:val="Nzev"/>
              <w:jc w:val="center"/>
            </w:pPr>
            <w:r w:rsidRPr="00567927">
              <w:t>78,9%</w:t>
            </w:r>
          </w:p>
        </w:tc>
        <w:tc>
          <w:tcPr>
            <w:tcW w:w="992" w:type="dxa"/>
            <w:tcBorders>
              <w:top w:val="nil"/>
              <w:left w:val="nil"/>
              <w:right w:val="single" w:sz="4" w:space="0" w:color="auto"/>
            </w:tcBorders>
            <w:shd w:val="clear" w:color="000000" w:fill="FFFFFF"/>
            <w:vAlign w:val="center"/>
            <w:hideMark/>
          </w:tcPr>
          <w:p w:rsidR="00567927" w:rsidRPr="00567927" w:rsidRDefault="00567927" w:rsidP="00B554CA">
            <w:pPr>
              <w:pStyle w:val="Nzev"/>
              <w:jc w:val="center"/>
            </w:pPr>
            <w:r w:rsidRPr="00567927">
              <w:t>10,5%</w:t>
            </w:r>
          </w:p>
        </w:tc>
        <w:tc>
          <w:tcPr>
            <w:tcW w:w="992" w:type="dxa"/>
            <w:tcBorders>
              <w:top w:val="single" w:sz="4" w:space="0" w:color="auto"/>
              <w:left w:val="nil"/>
              <w:right w:val="nil"/>
            </w:tcBorders>
            <w:shd w:val="clear" w:color="000000" w:fill="FFFFFF"/>
            <w:vAlign w:val="center"/>
            <w:hideMark/>
          </w:tcPr>
          <w:p w:rsidR="00567927" w:rsidRPr="00567927" w:rsidRDefault="00567927" w:rsidP="00B554CA">
            <w:pPr>
              <w:pStyle w:val="Nzev"/>
              <w:jc w:val="center"/>
            </w:pPr>
            <w:r w:rsidRPr="00567927">
              <w:t>2,63</w:t>
            </w:r>
          </w:p>
        </w:tc>
        <w:tc>
          <w:tcPr>
            <w:tcW w:w="567" w:type="dxa"/>
            <w:tcBorders>
              <w:top w:val="single" w:sz="4" w:space="0" w:color="auto"/>
              <w:left w:val="single" w:sz="4" w:space="0" w:color="auto"/>
              <w:right w:val="single" w:sz="4" w:space="0" w:color="000000"/>
            </w:tcBorders>
            <w:shd w:val="clear" w:color="000000" w:fill="FFFFFF"/>
            <w:vAlign w:val="center"/>
            <w:hideMark/>
          </w:tcPr>
          <w:p w:rsidR="00567927" w:rsidRPr="00567927" w:rsidRDefault="00567927" w:rsidP="00B554CA">
            <w:pPr>
              <w:pStyle w:val="Nzev"/>
              <w:jc w:val="center"/>
            </w:pPr>
            <w:r w:rsidRPr="00567927">
              <w:t>2,58</w:t>
            </w:r>
          </w:p>
        </w:tc>
        <w:tc>
          <w:tcPr>
            <w:tcW w:w="567" w:type="dxa"/>
            <w:tcBorders>
              <w:top w:val="single" w:sz="4" w:space="0" w:color="auto"/>
              <w:left w:val="nil"/>
            </w:tcBorders>
            <w:shd w:val="clear" w:color="000000" w:fill="FFFFFF"/>
            <w:vAlign w:val="center"/>
            <w:hideMark/>
          </w:tcPr>
          <w:p w:rsidR="00567927" w:rsidRPr="00567927" w:rsidRDefault="00567927" w:rsidP="00B554CA">
            <w:pPr>
              <w:pStyle w:val="Nzev"/>
              <w:jc w:val="center"/>
            </w:pPr>
            <w:r w:rsidRPr="00567927">
              <w:t>2,54</w:t>
            </w:r>
          </w:p>
        </w:tc>
      </w:tr>
    </w:tbl>
    <w:p w:rsidR="008C590D" w:rsidRPr="007F3C89" w:rsidRDefault="00864398" w:rsidP="00567927">
      <w:pPr>
        <w:pStyle w:val="Bezmezer"/>
        <w:rPr>
          <w:b/>
          <w:lang w:eastAsia="cs-CZ"/>
        </w:rPr>
      </w:pPr>
      <w:r w:rsidRPr="00864398">
        <w:rPr>
          <w:lang w:eastAsia="cs-CZ"/>
        </w:rPr>
        <w:t>I zde dochází k</w:t>
      </w:r>
      <w:r w:rsidR="00567927" w:rsidRPr="00864398">
        <w:rPr>
          <w:lang w:eastAsia="cs-CZ"/>
        </w:rPr>
        <w:t> </w:t>
      </w:r>
      <w:r w:rsidR="00567927" w:rsidRPr="008C590D">
        <w:rPr>
          <w:b/>
          <w:lang w:eastAsia="cs-CZ"/>
        </w:rPr>
        <w:t xml:space="preserve">rozporům </w:t>
      </w:r>
      <w:r w:rsidRPr="008C590D">
        <w:rPr>
          <w:b/>
          <w:lang w:eastAsia="cs-CZ"/>
        </w:rPr>
        <w:t>při</w:t>
      </w:r>
      <w:r w:rsidR="00567927" w:rsidRPr="008C590D">
        <w:rPr>
          <w:b/>
          <w:lang w:eastAsia="cs-CZ"/>
        </w:rPr>
        <w:t xml:space="preserve"> konfront</w:t>
      </w:r>
      <w:r w:rsidRPr="008C590D">
        <w:rPr>
          <w:b/>
          <w:lang w:eastAsia="cs-CZ"/>
        </w:rPr>
        <w:t>aci</w:t>
      </w:r>
      <w:r w:rsidR="00567927" w:rsidRPr="008C590D">
        <w:rPr>
          <w:b/>
          <w:lang w:eastAsia="cs-CZ"/>
        </w:rPr>
        <w:t xml:space="preserve"> s hodnotami, které představují posouzení současného stavu</w:t>
      </w:r>
      <w:r w:rsidR="00567927" w:rsidRPr="00864398">
        <w:rPr>
          <w:lang w:eastAsia="cs-CZ"/>
        </w:rPr>
        <w:t xml:space="preserve"> </w:t>
      </w:r>
      <w:r>
        <w:rPr>
          <w:lang w:eastAsia="cs-CZ"/>
        </w:rPr>
        <w:t>daných</w:t>
      </w:r>
      <w:r w:rsidR="00567927" w:rsidRPr="00864398">
        <w:rPr>
          <w:lang w:eastAsia="cs-CZ"/>
        </w:rPr>
        <w:t xml:space="preserve"> témat.</w:t>
      </w:r>
      <w:r w:rsidR="008C590D">
        <w:rPr>
          <w:lang w:eastAsia="cs-CZ"/>
        </w:rPr>
        <w:t xml:space="preserve"> Nejpatrněji je to vidět na tématu podpory základního </w:t>
      </w:r>
      <w:r w:rsidR="008C590D" w:rsidRPr="00567927">
        <w:t>rozvoj</w:t>
      </w:r>
      <w:r w:rsidR="008C590D">
        <w:t>e</w:t>
      </w:r>
      <w:r w:rsidR="008C590D" w:rsidRPr="00567927">
        <w:t xml:space="preserve"> čtenářské gramotnosti v rámci školních vzdělávacích programů</w:t>
      </w:r>
      <w:r w:rsidR="008C590D">
        <w:t xml:space="preserve">. To má jednu z nejvyšších priorit, co se dalšího rozvoje týká a zároveň disponuje vůbec nejlepším </w:t>
      </w:r>
      <w:r w:rsidR="008C590D">
        <w:lastRenderedPageBreak/>
        <w:t xml:space="preserve">ohodnocením z hlediska současného stavu! </w:t>
      </w:r>
      <w:r w:rsidR="008C590D" w:rsidRPr="008C590D">
        <w:rPr>
          <w:b/>
        </w:rPr>
        <w:t>I zde je nejpravděpodobnějším rozřešením situace přesvědčení školy o maximálním možném vydaném nasazení (což netřeba zpochybňovat), které však zdaleka nedosáhlo vyčerpání všech možností dalšího rozvoje</w:t>
      </w:r>
      <w:r w:rsidR="008C590D">
        <w:t>.</w:t>
      </w:r>
    </w:p>
    <w:p w:rsidR="00567927" w:rsidRPr="007F3C89" w:rsidRDefault="007F3C89" w:rsidP="00567927">
      <w:pPr>
        <w:pStyle w:val="Bezmezer"/>
        <w:rPr>
          <w:lang w:eastAsia="cs-CZ"/>
        </w:rPr>
      </w:pPr>
      <w:r w:rsidRPr="007F3C89">
        <w:rPr>
          <w:lang w:eastAsia="cs-CZ"/>
        </w:rPr>
        <w:t>Předešlý odstavec znovu do velké míry</w:t>
      </w:r>
      <w:r>
        <w:rPr>
          <w:lang w:eastAsia="cs-CZ"/>
        </w:rPr>
        <w:t xml:space="preserve"> </w:t>
      </w:r>
      <w:r w:rsidRPr="007F3C89">
        <w:rPr>
          <w:lang w:eastAsia="cs-CZ"/>
        </w:rPr>
        <w:t xml:space="preserve">osvětlují </w:t>
      </w:r>
      <w:r w:rsidR="00567927" w:rsidRPr="007F3C89">
        <w:rPr>
          <w:lang w:eastAsia="cs-CZ"/>
        </w:rPr>
        <w:t>další</w:t>
      </w:r>
      <w:r w:rsidRPr="007F3C89">
        <w:rPr>
          <w:lang w:eastAsia="cs-CZ"/>
        </w:rPr>
        <w:t xml:space="preserve"> sebrané</w:t>
      </w:r>
      <w:r w:rsidR="00567927" w:rsidRPr="007F3C89">
        <w:rPr>
          <w:lang w:eastAsia="cs-CZ"/>
        </w:rPr>
        <w:t xml:space="preserve"> informac</w:t>
      </w:r>
      <w:r w:rsidRPr="007F3C89">
        <w:rPr>
          <w:lang w:eastAsia="cs-CZ"/>
        </w:rPr>
        <w:t>e</w:t>
      </w:r>
      <w:r w:rsidR="00567927" w:rsidRPr="007F3C89">
        <w:rPr>
          <w:lang w:eastAsia="cs-CZ"/>
        </w:rPr>
        <w:t xml:space="preserve"> týkající se procentuálního podílu škol narážejících na danou překážku: </w:t>
      </w:r>
    </w:p>
    <w:p w:rsidR="00567927" w:rsidRPr="00C67DC8" w:rsidRDefault="00C67DC8" w:rsidP="00C67DC8">
      <w:pPr>
        <w:pStyle w:val="Nzev"/>
        <w:numPr>
          <w:ilvl w:val="0"/>
          <w:numId w:val="33"/>
        </w:numPr>
        <w:rPr>
          <w:rFonts w:eastAsia="Times New Roman"/>
          <w:lang w:eastAsia="cs-CZ"/>
        </w:rPr>
      </w:pPr>
      <w:r w:rsidRPr="00C67DC8">
        <w:rPr>
          <w:rFonts w:eastAsia="Times New Roman"/>
          <w:lang w:eastAsia="cs-CZ"/>
        </w:rPr>
        <w:t>Nedostatek stabilní finan</w:t>
      </w:r>
      <w:r w:rsidRPr="00C67DC8">
        <w:rPr>
          <w:rFonts w:eastAsia="Times New Roman" w:hint="eastAsia"/>
          <w:lang w:eastAsia="cs-CZ"/>
        </w:rPr>
        <w:t>č</w:t>
      </w:r>
      <w:r w:rsidRPr="00C67DC8">
        <w:rPr>
          <w:rFonts w:eastAsia="Times New Roman"/>
          <w:lang w:eastAsia="cs-CZ"/>
        </w:rPr>
        <w:t>ní podpory pro rozvoj p</w:t>
      </w:r>
      <w:r w:rsidRPr="00C67DC8">
        <w:rPr>
          <w:rFonts w:eastAsia="Times New Roman" w:hint="eastAsia"/>
          <w:lang w:eastAsia="cs-CZ"/>
        </w:rPr>
        <w:t>ří</w:t>
      </w:r>
      <w:r w:rsidRPr="00C67DC8">
        <w:rPr>
          <w:rFonts w:eastAsia="Times New Roman"/>
          <w:lang w:eastAsia="cs-CZ"/>
        </w:rPr>
        <w:t>slušné gramotnosti (k personálnímu zajišt</w:t>
      </w:r>
      <w:r w:rsidRPr="00C67DC8">
        <w:rPr>
          <w:rFonts w:eastAsia="Times New Roman" w:hint="eastAsia"/>
          <w:lang w:eastAsia="cs-CZ"/>
        </w:rPr>
        <w:t>ě</w:t>
      </w:r>
      <w:r w:rsidRPr="00C67DC8">
        <w:rPr>
          <w:rFonts w:eastAsia="Times New Roman"/>
          <w:lang w:eastAsia="cs-CZ"/>
        </w:rPr>
        <w:t>ní pedagogického dozoru koutk</w:t>
      </w:r>
      <w:r w:rsidRPr="00C67DC8">
        <w:rPr>
          <w:rFonts w:eastAsia="Times New Roman" w:hint="eastAsia"/>
          <w:lang w:eastAsia="cs-CZ"/>
        </w:rPr>
        <w:t>ů</w:t>
      </w:r>
      <w:r w:rsidRPr="00C67DC8">
        <w:rPr>
          <w:rFonts w:eastAsia="Times New Roman"/>
          <w:lang w:eastAsia="cs-CZ"/>
        </w:rPr>
        <w:t>, voln</w:t>
      </w:r>
      <w:r w:rsidRPr="00C67DC8">
        <w:rPr>
          <w:rFonts w:eastAsia="Times New Roman" w:hint="eastAsia"/>
          <w:lang w:eastAsia="cs-CZ"/>
        </w:rPr>
        <w:t>ě</w:t>
      </w:r>
      <w:r w:rsidRPr="00C67DC8">
        <w:rPr>
          <w:rFonts w:eastAsia="Times New Roman"/>
          <w:lang w:eastAsia="cs-CZ"/>
        </w:rPr>
        <w:t xml:space="preserve"> otev</w:t>
      </w:r>
      <w:r w:rsidRPr="00C67DC8">
        <w:rPr>
          <w:rFonts w:eastAsia="Times New Roman" w:hint="eastAsia"/>
          <w:lang w:eastAsia="cs-CZ"/>
        </w:rPr>
        <w:t>ř</w:t>
      </w:r>
      <w:r w:rsidRPr="00C67DC8">
        <w:rPr>
          <w:rFonts w:eastAsia="Times New Roman"/>
          <w:lang w:eastAsia="cs-CZ"/>
        </w:rPr>
        <w:t>ených u</w:t>
      </w:r>
      <w:r w:rsidRPr="00C67DC8">
        <w:rPr>
          <w:rFonts w:eastAsia="Times New Roman" w:hint="eastAsia"/>
          <w:lang w:eastAsia="cs-CZ"/>
        </w:rPr>
        <w:t>č</w:t>
      </w:r>
      <w:r w:rsidRPr="00C67DC8">
        <w:rPr>
          <w:rFonts w:eastAsia="Times New Roman"/>
          <w:lang w:eastAsia="cs-CZ"/>
        </w:rPr>
        <w:t>eben, k možnému p</w:t>
      </w:r>
      <w:r w:rsidRPr="00C67DC8">
        <w:rPr>
          <w:rFonts w:eastAsia="Times New Roman" w:hint="eastAsia"/>
          <w:lang w:eastAsia="cs-CZ"/>
        </w:rPr>
        <w:t>ů</w:t>
      </w:r>
      <w:r w:rsidRPr="00C67DC8">
        <w:rPr>
          <w:rFonts w:eastAsia="Times New Roman"/>
          <w:lang w:eastAsia="cs-CZ"/>
        </w:rPr>
        <w:t>lení hodin, k inovaci a vým</w:t>
      </w:r>
      <w:r w:rsidRPr="00C67DC8">
        <w:rPr>
          <w:rFonts w:eastAsia="Times New Roman" w:hint="eastAsia"/>
          <w:lang w:eastAsia="cs-CZ"/>
        </w:rPr>
        <w:t>ě</w:t>
      </w:r>
      <w:r w:rsidRPr="00C67DC8">
        <w:rPr>
          <w:rFonts w:eastAsia="Times New Roman"/>
          <w:lang w:eastAsia="cs-CZ"/>
        </w:rPr>
        <w:t>n</w:t>
      </w:r>
      <w:r w:rsidRPr="00C67DC8">
        <w:rPr>
          <w:rFonts w:eastAsia="Times New Roman" w:hint="eastAsia"/>
          <w:lang w:eastAsia="cs-CZ"/>
        </w:rPr>
        <w:t>ě</w:t>
      </w:r>
      <w:r w:rsidRPr="00C67DC8">
        <w:rPr>
          <w:rFonts w:eastAsia="Times New Roman"/>
          <w:lang w:eastAsia="cs-CZ"/>
        </w:rPr>
        <w:t xml:space="preserve"> u</w:t>
      </w:r>
      <w:r w:rsidRPr="00C67DC8">
        <w:rPr>
          <w:rFonts w:eastAsia="Times New Roman" w:hint="eastAsia"/>
          <w:lang w:eastAsia="cs-CZ"/>
        </w:rPr>
        <w:t>č</w:t>
      </w:r>
      <w:r w:rsidRPr="00C67DC8">
        <w:rPr>
          <w:rFonts w:eastAsia="Times New Roman"/>
          <w:lang w:eastAsia="cs-CZ"/>
        </w:rPr>
        <w:t>ebních pom</w:t>
      </w:r>
      <w:r w:rsidRPr="00C67DC8">
        <w:rPr>
          <w:rFonts w:eastAsia="Times New Roman" w:hint="eastAsia"/>
          <w:lang w:eastAsia="cs-CZ"/>
        </w:rPr>
        <w:t>ů</w:t>
      </w:r>
      <w:r w:rsidRPr="00C67DC8">
        <w:rPr>
          <w:rFonts w:eastAsia="Times New Roman"/>
          <w:lang w:eastAsia="cs-CZ"/>
        </w:rPr>
        <w:t>cek k rozvoji gramotností, k zajišt</w:t>
      </w:r>
      <w:r w:rsidRPr="00C67DC8">
        <w:rPr>
          <w:rFonts w:eastAsia="Times New Roman" w:hint="eastAsia"/>
          <w:lang w:eastAsia="cs-CZ"/>
        </w:rPr>
        <w:t>ě</w:t>
      </w:r>
      <w:r w:rsidRPr="00C67DC8">
        <w:rPr>
          <w:rFonts w:eastAsia="Times New Roman"/>
          <w:lang w:eastAsia="cs-CZ"/>
        </w:rPr>
        <w:t>ní dostate</w:t>
      </w:r>
      <w:r w:rsidRPr="00C67DC8">
        <w:rPr>
          <w:rFonts w:eastAsia="Times New Roman" w:hint="eastAsia"/>
          <w:lang w:eastAsia="cs-CZ"/>
        </w:rPr>
        <w:t>č</w:t>
      </w:r>
      <w:r w:rsidRPr="00C67DC8">
        <w:rPr>
          <w:rFonts w:eastAsia="Times New Roman"/>
          <w:lang w:eastAsia="cs-CZ"/>
        </w:rPr>
        <w:t>ného po</w:t>
      </w:r>
      <w:r w:rsidRPr="00C67DC8">
        <w:rPr>
          <w:rFonts w:eastAsia="Times New Roman" w:hint="eastAsia"/>
          <w:lang w:eastAsia="cs-CZ"/>
        </w:rPr>
        <w:t>č</w:t>
      </w:r>
      <w:r w:rsidRPr="00C67DC8">
        <w:rPr>
          <w:rFonts w:eastAsia="Times New Roman"/>
          <w:lang w:eastAsia="cs-CZ"/>
        </w:rPr>
        <w:t>tu t</w:t>
      </w:r>
      <w:r w:rsidRPr="00C67DC8">
        <w:rPr>
          <w:rFonts w:eastAsia="Times New Roman" w:hint="eastAsia"/>
          <w:lang w:eastAsia="cs-CZ"/>
        </w:rPr>
        <w:t>ě</w:t>
      </w:r>
      <w:r w:rsidRPr="00C67DC8">
        <w:rPr>
          <w:rFonts w:eastAsia="Times New Roman"/>
          <w:lang w:eastAsia="cs-CZ"/>
        </w:rPr>
        <w:t>chto pom</w:t>
      </w:r>
      <w:r w:rsidRPr="00C67DC8">
        <w:rPr>
          <w:rFonts w:eastAsia="Times New Roman" w:hint="eastAsia"/>
          <w:lang w:eastAsia="cs-CZ"/>
        </w:rPr>
        <w:t>ů</w:t>
      </w:r>
      <w:r w:rsidRPr="00C67DC8">
        <w:rPr>
          <w:rFonts w:eastAsia="Times New Roman"/>
          <w:lang w:eastAsia="cs-CZ"/>
        </w:rPr>
        <w:t>cek apod.).</w:t>
      </w:r>
      <w:r w:rsidR="00567927" w:rsidRPr="00C67DC8">
        <w:rPr>
          <w:rFonts w:eastAsia="Times New Roman"/>
          <w:lang w:eastAsia="cs-CZ"/>
        </w:rPr>
        <w:t xml:space="preserve"> (</w:t>
      </w:r>
      <w:r w:rsidRPr="00C67DC8">
        <w:rPr>
          <w:rFonts w:eastAsia="Times New Roman"/>
          <w:lang w:eastAsia="cs-CZ"/>
        </w:rPr>
        <w:t>73,7 %</w:t>
      </w:r>
      <w:r w:rsidR="00567927" w:rsidRPr="00C67DC8">
        <w:rPr>
          <w:rFonts w:eastAsia="Times New Roman"/>
          <w:lang w:eastAsia="cs-CZ"/>
        </w:rPr>
        <w:t>)</w:t>
      </w:r>
    </w:p>
    <w:p w:rsidR="00567927" w:rsidRPr="00C67DC8" w:rsidRDefault="00C67DC8" w:rsidP="00567927">
      <w:pPr>
        <w:pStyle w:val="Nzev"/>
        <w:numPr>
          <w:ilvl w:val="0"/>
          <w:numId w:val="33"/>
        </w:numPr>
        <w:rPr>
          <w:rFonts w:eastAsia="Times New Roman"/>
          <w:lang w:eastAsia="cs-CZ"/>
        </w:rPr>
      </w:pPr>
      <w:r w:rsidRPr="00C67DC8">
        <w:rPr>
          <w:rFonts w:eastAsia="Times New Roman"/>
          <w:lang w:eastAsia="cs-CZ"/>
        </w:rPr>
        <w:t>Nedostate</w:t>
      </w:r>
      <w:r w:rsidRPr="00C67DC8">
        <w:rPr>
          <w:rFonts w:eastAsia="Times New Roman" w:hint="eastAsia"/>
          <w:lang w:eastAsia="cs-CZ"/>
        </w:rPr>
        <w:t>č</w:t>
      </w:r>
      <w:r w:rsidRPr="00C67DC8">
        <w:rPr>
          <w:rFonts w:eastAsia="Times New Roman"/>
          <w:lang w:eastAsia="cs-CZ"/>
        </w:rPr>
        <w:t>né materiáln</w:t>
      </w:r>
      <w:r w:rsidRPr="00C67DC8">
        <w:rPr>
          <w:rFonts w:eastAsia="Times New Roman" w:hint="eastAsia"/>
          <w:lang w:eastAsia="cs-CZ"/>
        </w:rPr>
        <w:t>ě</w:t>
      </w:r>
      <w:r w:rsidRPr="00C67DC8">
        <w:rPr>
          <w:rFonts w:eastAsia="Times New Roman"/>
          <w:lang w:eastAsia="cs-CZ"/>
        </w:rPr>
        <w:t xml:space="preserve"> technické podmínky pro rozvoj v p</w:t>
      </w:r>
      <w:r w:rsidRPr="00C67DC8">
        <w:rPr>
          <w:rFonts w:eastAsia="Times New Roman" w:hint="eastAsia"/>
          <w:lang w:eastAsia="cs-CZ"/>
        </w:rPr>
        <w:t>ří</w:t>
      </w:r>
      <w:r w:rsidRPr="00C67DC8">
        <w:rPr>
          <w:rFonts w:eastAsia="Times New Roman"/>
          <w:lang w:eastAsia="cs-CZ"/>
        </w:rPr>
        <w:t>slušné oblasti gramotnosti mimo školu (exkurze, výstavy, tematické programy apod.).</w:t>
      </w:r>
      <w:r w:rsidR="00567927" w:rsidRPr="00C67DC8">
        <w:rPr>
          <w:rFonts w:eastAsia="Times New Roman"/>
          <w:lang w:eastAsia="cs-CZ"/>
        </w:rPr>
        <w:t xml:space="preserve"> (</w:t>
      </w:r>
      <w:r w:rsidRPr="00C67DC8">
        <w:rPr>
          <w:rFonts w:eastAsia="Times New Roman"/>
          <w:lang w:eastAsia="cs-CZ"/>
        </w:rPr>
        <w:t xml:space="preserve">47,4 </w:t>
      </w:r>
      <w:r w:rsidR="00567927" w:rsidRPr="00C67DC8">
        <w:rPr>
          <w:rFonts w:eastAsia="Times New Roman"/>
          <w:lang w:eastAsia="cs-CZ"/>
        </w:rPr>
        <w:t>%)</w:t>
      </w:r>
    </w:p>
    <w:p w:rsidR="00C67DC8" w:rsidRPr="00C67DC8" w:rsidRDefault="00C67DC8" w:rsidP="00C67DC8">
      <w:pPr>
        <w:pStyle w:val="Nzev"/>
        <w:numPr>
          <w:ilvl w:val="0"/>
          <w:numId w:val="33"/>
        </w:numPr>
        <w:rPr>
          <w:rFonts w:eastAsia="Times New Roman"/>
          <w:lang w:eastAsia="cs-CZ"/>
        </w:rPr>
      </w:pPr>
      <w:r w:rsidRPr="00C67DC8">
        <w:rPr>
          <w:rFonts w:eastAsia="Times New Roman"/>
          <w:lang w:eastAsia="cs-CZ"/>
        </w:rPr>
        <w:t>Absence pozice samostatného pracovníka nebo pracovník</w:t>
      </w:r>
      <w:r w:rsidRPr="00C67DC8">
        <w:rPr>
          <w:rFonts w:eastAsia="Times New Roman" w:hint="eastAsia"/>
          <w:lang w:eastAsia="cs-CZ"/>
        </w:rPr>
        <w:t>ů</w:t>
      </w:r>
      <w:r w:rsidRPr="00C67DC8">
        <w:rPr>
          <w:rFonts w:eastAsia="Times New Roman"/>
          <w:lang w:eastAsia="cs-CZ"/>
        </w:rPr>
        <w:t xml:space="preserve"> pro rozvoj p</w:t>
      </w:r>
      <w:r w:rsidRPr="00C67DC8">
        <w:rPr>
          <w:rFonts w:eastAsia="Times New Roman" w:hint="eastAsia"/>
          <w:lang w:eastAsia="cs-CZ"/>
        </w:rPr>
        <w:t>ří</w:t>
      </w:r>
      <w:r w:rsidRPr="00C67DC8">
        <w:rPr>
          <w:rFonts w:eastAsia="Times New Roman"/>
          <w:lang w:eastAsia="cs-CZ"/>
        </w:rPr>
        <w:t>slušné gramotnosti.</w:t>
      </w:r>
      <w:r w:rsidR="00567927" w:rsidRPr="00C67DC8">
        <w:rPr>
          <w:rFonts w:eastAsia="Times New Roman"/>
          <w:lang w:eastAsia="cs-CZ"/>
        </w:rPr>
        <w:t xml:space="preserve"> (</w:t>
      </w:r>
      <w:r w:rsidRPr="00C67DC8">
        <w:rPr>
          <w:rFonts w:eastAsia="Times New Roman"/>
          <w:lang w:eastAsia="cs-CZ"/>
        </w:rPr>
        <w:t>47,4</w:t>
      </w:r>
      <w:r w:rsidR="00567927" w:rsidRPr="00C67DC8">
        <w:rPr>
          <w:rFonts w:eastAsia="Times New Roman"/>
          <w:lang w:eastAsia="cs-CZ"/>
        </w:rPr>
        <w:t xml:space="preserve"> %)</w:t>
      </w:r>
    </w:p>
    <w:p w:rsidR="00567927" w:rsidRPr="00C67DC8" w:rsidRDefault="00C67DC8" w:rsidP="00C67DC8">
      <w:pPr>
        <w:pStyle w:val="Bezmezer"/>
        <w:rPr>
          <w:lang w:eastAsia="cs-CZ"/>
        </w:rPr>
      </w:pPr>
      <w:r w:rsidRPr="00C67DC8">
        <w:rPr>
          <w:lang w:eastAsia="cs-CZ"/>
        </w:rPr>
        <w:t>Ale i:</w:t>
      </w:r>
    </w:p>
    <w:p w:rsidR="00567927" w:rsidRPr="0039547F" w:rsidRDefault="00C67DC8" w:rsidP="00567927">
      <w:pPr>
        <w:pStyle w:val="Nzev"/>
        <w:numPr>
          <w:ilvl w:val="0"/>
          <w:numId w:val="33"/>
        </w:numPr>
        <w:rPr>
          <w:lang w:eastAsia="cs-CZ"/>
        </w:rPr>
      </w:pPr>
      <w:r w:rsidRPr="0039547F">
        <w:rPr>
          <w:rFonts w:eastAsia="Times New Roman"/>
          <w:lang w:eastAsia="cs-CZ"/>
        </w:rPr>
        <w:t>Nezájem ze strany žák</w:t>
      </w:r>
      <w:r w:rsidRPr="0039547F">
        <w:rPr>
          <w:rFonts w:eastAsia="Times New Roman" w:hint="eastAsia"/>
          <w:lang w:eastAsia="cs-CZ"/>
        </w:rPr>
        <w:t>ů</w:t>
      </w:r>
      <w:r w:rsidRPr="0039547F">
        <w:rPr>
          <w:rFonts w:eastAsia="Times New Roman"/>
          <w:lang w:eastAsia="cs-CZ"/>
        </w:rPr>
        <w:t xml:space="preserve"> a rodi</w:t>
      </w:r>
      <w:r w:rsidRPr="0039547F">
        <w:rPr>
          <w:rFonts w:eastAsia="Times New Roman" w:hint="eastAsia"/>
          <w:lang w:eastAsia="cs-CZ"/>
        </w:rPr>
        <w:t>čů</w:t>
      </w:r>
      <w:r w:rsidR="00CE0F3E">
        <w:rPr>
          <w:rFonts w:eastAsia="Times New Roman"/>
          <w:lang w:eastAsia="cs-CZ"/>
        </w:rPr>
        <w:t>.</w:t>
      </w:r>
      <w:r w:rsidR="00567927" w:rsidRPr="0039547F">
        <w:rPr>
          <w:rFonts w:eastAsia="Times New Roman"/>
          <w:lang w:eastAsia="cs-CZ"/>
        </w:rPr>
        <w:t xml:space="preserve"> (</w:t>
      </w:r>
      <w:r w:rsidRPr="0039547F">
        <w:rPr>
          <w:rFonts w:eastAsia="Times New Roman"/>
          <w:lang w:eastAsia="cs-CZ"/>
        </w:rPr>
        <w:t>57,9</w:t>
      </w:r>
      <w:r w:rsidR="00567927" w:rsidRPr="0039547F">
        <w:rPr>
          <w:rFonts w:eastAsia="Times New Roman"/>
          <w:lang w:eastAsia="cs-CZ"/>
        </w:rPr>
        <w:t xml:space="preserve"> %)</w:t>
      </w:r>
    </w:p>
    <w:p w:rsidR="00567927" w:rsidRPr="0039547F" w:rsidRDefault="00BF04B4" w:rsidP="00567927">
      <w:pPr>
        <w:pStyle w:val="Bezmezer"/>
      </w:pPr>
      <w:r w:rsidRPr="0039547F">
        <w:rPr>
          <w:lang w:eastAsia="cs-CZ"/>
        </w:rPr>
        <w:t xml:space="preserve">Kromě </w:t>
      </w:r>
      <w:r w:rsidR="00B54899">
        <w:rPr>
          <w:lang w:eastAsia="cs-CZ"/>
        </w:rPr>
        <w:t>momentu, který</w:t>
      </w:r>
      <w:r w:rsidRPr="0039547F">
        <w:rPr>
          <w:lang w:eastAsia="cs-CZ"/>
        </w:rPr>
        <w:t xml:space="preserve"> se táhn</w:t>
      </w:r>
      <w:r w:rsidR="00192581">
        <w:rPr>
          <w:lang w:eastAsia="cs-CZ"/>
        </w:rPr>
        <w:t>e</w:t>
      </w:r>
      <w:r w:rsidRPr="0039547F">
        <w:rPr>
          <w:lang w:eastAsia="cs-CZ"/>
        </w:rPr>
        <w:t xml:space="preserve"> celým dokumentem jako stěžejní, tedy </w:t>
      </w:r>
      <w:r w:rsidRPr="0039547F">
        <w:rPr>
          <w:b/>
          <w:lang w:eastAsia="cs-CZ"/>
        </w:rPr>
        <w:t>absence výraznějších</w:t>
      </w:r>
      <w:r w:rsidRPr="0039547F">
        <w:rPr>
          <w:lang w:eastAsia="cs-CZ"/>
        </w:rPr>
        <w:t xml:space="preserve"> </w:t>
      </w:r>
      <w:r w:rsidR="00567927" w:rsidRPr="0039547F">
        <w:rPr>
          <w:b/>
          <w:lang w:eastAsia="cs-CZ"/>
        </w:rPr>
        <w:t>finanční</w:t>
      </w:r>
      <w:r w:rsidRPr="0039547F">
        <w:rPr>
          <w:b/>
          <w:lang w:eastAsia="cs-CZ"/>
        </w:rPr>
        <w:t>ch</w:t>
      </w:r>
      <w:r w:rsidR="00567927" w:rsidRPr="0039547F">
        <w:rPr>
          <w:b/>
          <w:lang w:eastAsia="cs-CZ"/>
        </w:rPr>
        <w:t xml:space="preserve"> pros</w:t>
      </w:r>
      <w:r w:rsidRPr="0039547F">
        <w:rPr>
          <w:b/>
          <w:lang w:eastAsia="cs-CZ"/>
        </w:rPr>
        <w:t>tředků a nedostatečné</w:t>
      </w:r>
      <w:r w:rsidR="00567927" w:rsidRPr="0039547F">
        <w:rPr>
          <w:b/>
          <w:lang w:eastAsia="cs-CZ"/>
        </w:rPr>
        <w:t xml:space="preserve"> personální kapacity</w:t>
      </w:r>
      <w:r w:rsidRPr="0039547F">
        <w:rPr>
          <w:lang w:eastAsia="cs-CZ"/>
        </w:rPr>
        <w:t xml:space="preserve">, zde </w:t>
      </w:r>
      <w:r w:rsidR="00192581">
        <w:rPr>
          <w:lang w:eastAsia="cs-CZ"/>
        </w:rPr>
        <w:t>po delší době znovu</w:t>
      </w:r>
      <w:r w:rsidRPr="0039547F">
        <w:rPr>
          <w:lang w:eastAsia="cs-CZ"/>
        </w:rPr>
        <w:t xml:space="preserve"> výrazněji vyvstává i </w:t>
      </w:r>
      <w:r w:rsidR="00192581">
        <w:rPr>
          <w:lang w:eastAsia="cs-CZ"/>
        </w:rPr>
        <w:t xml:space="preserve">další úhelný kámen dokumentu </w:t>
      </w:r>
      <w:r w:rsidRPr="0039547F">
        <w:rPr>
          <w:b/>
          <w:lang w:eastAsia="cs-CZ"/>
        </w:rPr>
        <w:t>zpětná vazba ze strany rodičů</w:t>
      </w:r>
      <w:r w:rsidR="00192581">
        <w:rPr>
          <w:b/>
          <w:lang w:eastAsia="cs-CZ"/>
        </w:rPr>
        <w:t xml:space="preserve">, </w:t>
      </w:r>
      <w:r w:rsidR="00192581" w:rsidRPr="00192581">
        <w:rPr>
          <w:lang w:eastAsia="cs-CZ"/>
        </w:rPr>
        <w:t>v tomto případě už</w:t>
      </w:r>
      <w:r w:rsidR="00192581">
        <w:rPr>
          <w:b/>
          <w:lang w:eastAsia="cs-CZ"/>
        </w:rPr>
        <w:t xml:space="preserve"> i žáků</w:t>
      </w:r>
      <w:r w:rsidR="00567927" w:rsidRPr="0039547F">
        <w:rPr>
          <w:lang w:eastAsia="cs-CZ"/>
        </w:rPr>
        <w:t>.</w:t>
      </w:r>
      <w:r w:rsidRPr="0039547F">
        <w:rPr>
          <w:lang w:eastAsia="cs-CZ"/>
        </w:rPr>
        <w:t xml:space="preserve"> </w:t>
      </w:r>
      <w:r w:rsidR="00192581">
        <w:rPr>
          <w:lang w:eastAsia="cs-CZ"/>
        </w:rPr>
        <w:t>Zopakujme tedy, že j</w:t>
      </w:r>
      <w:r w:rsidR="0039547F" w:rsidRPr="0039547F">
        <w:rPr>
          <w:b/>
          <w:lang w:eastAsia="cs-CZ"/>
        </w:rPr>
        <w:t xml:space="preserve">akékoliv snažení </w:t>
      </w:r>
      <w:r w:rsidR="00192581">
        <w:rPr>
          <w:b/>
          <w:lang w:eastAsia="cs-CZ"/>
        </w:rPr>
        <w:t>vzdělávací instituce</w:t>
      </w:r>
      <w:r w:rsidR="0039547F" w:rsidRPr="0039547F">
        <w:rPr>
          <w:b/>
          <w:lang w:eastAsia="cs-CZ"/>
        </w:rPr>
        <w:t xml:space="preserve"> bude mít pouze </w:t>
      </w:r>
      <w:r w:rsidR="00192581">
        <w:rPr>
          <w:b/>
          <w:lang w:eastAsia="cs-CZ"/>
        </w:rPr>
        <w:t>částečný</w:t>
      </w:r>
      <w:r w:rsidR="0039547F" w:rsidRPr="0039547F">
        <w:rPr>
          <w:b/>
          <w:lang w:eastAsia="cs-CZ"/>
        </w:rPr>
        <w:t xml:space="preserve"> dopad, nebude-li fungovat smysluplná reciproční vazba ze strany rodičů</w:t>
      </w:r>
      <w:r w:rsidR="00192581">
        <w:rPr>
          <w:b/>
          <w:lang w:eastAsia="cs-CZ"/>
        </w:rPr>
        <w:t>/žáků, i dalších „hráčů“ jako např. o</w:t>
      </w:r>
      <w:r w:rsidR="0039547F" w:rsidRPr="0039547F">
        <w:rPr>
          <w:b/>
          <w:lang w:eastAsia="cs-CZ"/>
        </w:rPr>
        <w:t>bce, kraje, stát, zájmové organizace apod.)</w:t>
      </w:r>
      <w:r w:rsidR="0039547F" w:rsidRPr="0039547F">
        <w:rPr>
          <w:lang w:eastAsia="cs-CZ"/>
        </w:rPr>
        <w:t>.</w:t>
      </w:r>
    </w:p>
    <w:p w:rsidR="009D1458" w:rsidRPr="000B7DE5" w:rsidRDefault="009D1458" w:rsidP="009D1458">
      <w:pPr>
        <w:pStyle w:val="Bezmezer"/>
        <w:rPr>
          <w:u w:val="single"/>
        </w:rPr>
      </w:pPr>
      <w:r w:rsidRPr="000B7DE5">
        <w:rPr>
          <w:u w:val="single"/>
        </w:rPr>
        <w:t>Rozvoj matematické gramotnosti</w:t>
      </w:r>
    </w:p>
    <w:p w:rsidR="00B75AE7" w:rsidRPr="006652B3" w:rsidRDefault="00B75AE7" w:rsidP="00B75AE7">
      <w:pPr>
        <w:pStyle w:val="Bezmezer"/>
      </w:pPr>
      <w:r w:rsidRPr="00567927">
        <w:t xml:space="preserve">V rámci </w:t>
      </w:r>
      <w:r w:rsidR="00B54899">
        <w:t>oblasti</w:t>
      </w:r>
      <w:r w:rsidRPr="00567927">
        <w:t xml:space="preserve"> </w:t>
      </w:r>
      <w:r>
        <w:t>matematické gramotnosti</w:t>
      </w:r>
      <w:r w:rsidRPr="00567927">
        <w:t xml:space="preserve"> hodno</w:t>
      </w:r>
      <w:r w:rsidRPr="006652B3">
        <w:t xml:space="preserve">tily ZŠ jedenáct modelových situací. </w:t>
      </w:r>
    </w:p>
    <w:p w:rsidR="00B75AE7" w:rsidRPr="006652B3" w:rsidRDefault="00042579" w:rsidP="00B75AE7">
      <w:pPr>
        <w:pStyle w:val="Bezmezer"/>
      </w:pPr>
      <w:r w:rsidRPr="006652B3">
        <w:t xml:space="preserve">I zde zcela </w:t>
      </w:r>
      <w:r w:rsidR="00B75AE7" w:rsidRPr="006652B3">
        <w:rPr>
          <w:b/>
        </w:rPr>
        <w:t>domin</w:t>
      </w:r>
      <w:r w:rsidRPr="006652B3">
        <w:rPr>
          <w:b/>
        </w:rPr>
        <w:t>ují</w:t>
      </w:r>
      <w:r w:rsidR="00B75AE7" w:rsidRPr="006652B3">
        <w:t xml:space="preserve"> </w:t>
      </w:r>
      <w:r w:rsidRPr="006652B3">
        <w:rPr>
          <w:b/>
        </w:rPr>
        <w:t>plány</w:t>
      </w:r>
      <w:r w:rsidR="006652B3">
        <w:rPr>
          <w:b/>
        </w:rPr>
        <w:t xml:space="preserve"> ZŠ na </w:t>
      </w:r>
      <w:r w:rsidRPr="006652B3">
        <w:rPr>
          <w:b/>
        </w:rPr>
        <w:t xml:space="preserve">období </w:t>
      </w:r>
      <w:r w:rsidR="00B75AE7" w:rsidRPr="006652B3">
        <w:rPr>
          <w:b/>
        </w:rPr>
        <w:t>2016 – 2018</w:t>
      </w:r>
      <w:r w:rsidR="00B75AE7" w:rsidRPr="006652B3">
        <w:t xml:space="preserve">. </w:t>
      </w:r>
      <w:r w:rsidR="00487028" w:rsidRPr="006652B3">
        <w:t xml:space="preserve">Stejně jako v případě čtenářské gramotnosti, i v případě té matematické se jedná o jedny z největších rozdílů mezi oběma obdobími, </w:t>
      </w:r>
      <w:r w:rsidR="006652B3" w:rsidRPr="006652B3">
        <w:t xml:space="preserve">81 % pro </w:t>
      </w:r>
      <w:r w:rsidR="00B75AE7" w:rsidRPr="006652B3">
        <w:t xml:space="preserve">16 – 18 </w:t>
      </w:r>
      <w:r w:rsidR="006652B3" w:rsidRPr="006652B3">
        <w:t xml:space="preserve">a 7 % </w:t>
      </w:r>
      <w:r w:rsidR="00B75AE7" w:rsidRPr="006652B3">
        <w:t>pro 19 – 20</w:t>
      </w:r>
      <w:r w:rsidR="006652B3" w:rsidRPr="006652B3">
        <w:t xml:space="preserve">. </w:t>
      </w:r>
      <w:r w:rsidR="00B46ED7" w:rsidRPr="000B7DE5">
        <w:rPr>
          <w:highlight w:val="yellow"/>
        </w:rPr>
        <w:t xml:space="preserve"> </w:t>
      </w:r>
    </w:p>
    <w:p w:rsidR="00B75AE7" w:rsidRPr="006652B3" w:rsidRDefault="006652B3" w:rsidP="00B75AE7">
      <w:pPr>
        <w:pStyle w:val="Bezmezer"/>
      </w:pPr>
      <w:r w:rsidRPr="006652B3">
        <w:t>Z jedenácti témat mezi ty nejčastěji zmiňovaná patří</w:t>
      </w:r>
      <w:r>
        <w:t xml:space="preserve"> těchto pět</w:t>
      </w:r>
      <w:r w:rsidR="00B75AE7" w:rsidRPr="006652B3">
        <w:t>:</w:t>
      </w:r>
    </w:p>
    <w:p w:rsidR="00B75AE7" w:rsidRPr="0073065D" w:rsidRDefault="006652B3" w:rsidP="00B75AE7">
      <w:pPr>
        <w:pStyle w:val="Nzev"/>
        <w:numPr>
          <w:ilvl w:val="0"/>
          <w:numId w:val="32"/>
        </w:numPr>
        <w:rPr>
          <w:rFonts w:eastAsia="Times New Roman"/>
          <w:lang w:eastAsia="cs-CZ"/>
        </w:rPr>
      </w:pPr>
      <w:r w:rsidRPr="006652B3">
        <w:rPr>
          <w:rFonts w:eastAsia="Times New Roman"/>
          <w:lang w:eastAsia="cs-CZ"/>
        </w:rPr>
        <w:t>Učitelé 1. i 2. stupně využívají poznatky v praxi a sdílejí dobrou praxi v oblasti matematické gramotnosti mezi sebou i s učiteli z </w:t>
      </w:r>
      <w:r w:rsidRPr="0073065D">
        <w:rPr>
          <w:rFonts w:eastAsia="Times New Roman"/>
          <w:lang w:eastAsia="cs-CZ"/>
        </w:rPr>
        <w:t>jiných škol</w:t>
      </w:r>
      <w:r w:rsidR="00B75AE7" w:rsidRPr="0073065D">
        <w:rPr>
          <w:rFonts w:eastAsia="Times New Roman"/>
          <w:lang w:eastAsia="cs-CZ"/>
        </w:rPr>
        <w:t>. (</w:t>
      </w:r>
      <w:r w:rsidRPr="0073065D">
        <w:rPr>
          <w:rFonts w:eastAsia="Times New Roman"/>
          <w:lang w:eastAsia="cs-CZ"/>
        </w:rPr>
        <w:t>94</w:t>
      </w:r>
      <w:r w:rsidR="00B75AE7" w:rsidRPr="0073065D">
        <w:rPr>
          <w:rFonts w:eastAsia="Times New Roman"/>
          <w:lang w:eastAsia="cs-CZ"/>
        </w:rPr>
        <w:t>,</w:t>
      </w:r>
      <w:r w:rsidRPr="0073065D">
        <w:rPr>
          <w:rFonts w:eastAsia="Times New Roman"/>
          <w:lang w:eastAsia="cs-CZ"/>
        </w:rPr>
        <w:t>7</w:t>
      </w:r>
      <w:r w:rsidR="00B75AE7" w:rsidRPr="0073065D">
        <w:rPr>
          <w:rFonts w:eastAsia="Times New Roman"/>
          <w:lang w:eastAsia="cs-CZ"/>
        </w:rPr>
        <w:t xml:space="preserve"> %)</w:t>
      </w:r>
    </w:p>
    <w:p w:rsidR="00B75AE7" w:rsidRPr="00057861" w:rsidRDefault="0073065D" w:rsidP="00B75AE7">
      <w:pPr>
        <w:pStyle w:val="Nzev"/>
        <w:numPr>
          <w:ilvl w:val="0"/>
          <w:numId w:val="32"/>
        </w:numPr>
        <w:rPr>
          <w:rFonts w:eastAsia="Times New Roman"/>
          <w:lang w:eastAsia="cs-CZ"/>
        </w:rPr>
      </w:pPr>
      <w:r w:rsidRPr="0073065D">
        <w:rPr>
          <w:rFonts w:eastAsia="Times New Roman"/>
          <w:lang w:eastAsia="cs-CZ"/>
        </w:rPr>
        <w:t xml:space="preserve">Škola podporuje rozvoj matematické gramotnosti v rámci </w:t>
      </w:r>
      <w:r w:rsidRPr="00057861">
        <w:rPr>
          <w:rFonts w:eastAsia="Times New Roman"/>
          <w:lang w:eastAsia="cs-CZ"/>
        </w:rPr>
        <w:t>školních vzdělávacích programů (má stanoveny konkrétní cíle)</w:t>
      </w:r>
      <w:r w:rsidR="00B75AE7" w:rsidRPr="00057861">
        <w:t>.</w:t>
      </w:r>
      <w:r w:rsidR="00B75AE7" w:rsidRPr="00057861">
        <w:rPr>
          <w:rFonts w:eastAsia="Times New Roman"/>
          <w:lang w:eastAsia="cs-CZ"/>
        </w:rPr>
        <w:t xml:space="preserve"> (89,5 %)</w:t>
      </w:r>
    </w:p>
    <w:p w:rsidR="00B75AE7" w:rsidRPr="009F5355" w:rsidRDefault="00057861" w:rsidP="00B75AE7">
      <w:pPr>
        <w:pStyle w:val="Nzev"/>
        <w:numPr>
          <w:ilvl w:val="0"/>
          <w:numId w:val="32"/>
        </w:numPr>
        <w:rPr>
          <w:rFonts w:eastAsia="Times New Roman"/>
          <w:lang w:eastAsia="cs-CZ"/>
        </w:rPr>
      </w:pPr>
      <w:r w:rsidRPr="00057861">
        <w:rPr>
          <w:rFonts w:eastAsia="Times New Roman"/>
          <w:lang w:eastAsia="cs-CZ"/>
        </w:rPr>
        <w:t>Učitelé 1. i 2. stupně rozvíjejí své znalosti v oblasti matematické gramotnosti a využívají je ve výuce (kurzy dalšího vzd</w:t>
      </w:r>
      <w:r w:rsidRPr="009F5355">
        <w:rPr>
          <w:rFonts w:eastAsia="Times New Roman"/>
          <w:lang w:eastAsia="cs-CZ"/>
        </w:rPr>
        <w:t>ělávání, studium literatury aj.)</w:t>
      </w:r>
      <w:r w:rsidR="00B75AE7" w:rsidRPr="009F5355">
        <w:t>.</w:t>
      </w:r>
      <w:r w:rsidR="00B75AE7" w:rsidRPr="009F5355">
        <w:rPr>
          <w:rFonts w:eastAsia="Times New Roman"/>
          <w:lang w:eastAsia="cs-CZ"/>
        </w:rPr>
        <w:t xml:space="preserve"> (84,2 %)</w:t>
      </w:r>
    </w:p>
    <w:p w:rsidR="00B75AE7" w:rsidRPr="009F5355" w:rsidRDefault="009F5355" w:rsidP="00B75AE7">
      <w:pPr>
        <w:pStyle w:val="Nzev"/>
        <w:numPr>
          <w:ilvl w:val="0"/>
          <w:numId w:val="32"/>
        </w:numPr>
        <w:rPr>
          <w:rFonts w:eastAsia="Times New Roman"/>
          <w:lang w:eastAsia="cs-CZ"/>
        </w:rPr>
      </w:pPr>
      <w:r w:rsidRPr="009F5355">
        <w:rPr>
          <w:rFonts w:eastAsia="Times New Roman"/>
          <w:lang w:eastAsia="cs-CZ"/>
        </w:rPr>
        <w:t>Ve škole je podporováno matematické myšlení u žáků (příklady k řešení a pochopení každodenních situací, situací spojených s budoucí profesí nebo k objasnění přírodních zákonů, atp.)</w:t>
      </w:r>
      <w:r w:rsidR="00B75AE7" w:rsidRPr="009F5355">
        <w:t>.</w:t>
      </w:r>
      <w:r w:rsidR="00B75AE7" w:rsidRPr="009F5355">
        <w:rPr>
          <w:rFonts w:eastAsia="Times New Roman"/>
          <w:lang w:eastAsia="cs-CZ"/>
        </w:rPr>
        <w:t xml:space="preserve"> (84,2 %)</w:t>
      </w:r>
    </w:p>
    <w:p w:rsidR="00B75AE7" w:rsidRPr="00FD2428" w:rsidRDefault="00DA1856" w:rsidP="00B75AE7">
      <w:pPr>
        <w:pStyle w:val="Nzev"/>
        <w:numPr>
          <w:ilvl w:val="0"/>
          <w:numId w:val="32"/>
        </w:numPr>
        <w:rPr>
          <w:rFonts w:eastAsia="Times New Roman"/>
          <w:lang w:eastAsia="cs-CZ"/>
        </w:rPr>
      </w:pPr>
      <w:r w:rsidRPr="00DA1856">
        <w:rPr>
          <w:rFonts w:eastAsia="Times New Roman"/>
          <w:lang w:eastAsia="cs-CZ"/>
        </w:rPr>
        <w:t>Ve škole jsou využívána interaktivní média, informační a komunikační technologie v oblasti rozvoje matemat</w:t>
      </w:r>
      <w:r w:rsidRPr="00FD2428">
        <w:rPr>
          <w:rFonts w:eastAsia="Times New Roman"/>
          <w:lang w:eastAsia="cs-CZ"/>
        </w:rPr>
        <w:t>ické gramotnosti</w:t>
      </w:r>
      <w:r w:rsidR="00B75AE7" w:rsidRPr="00FD2428">
        <w:t>.</w:t>
      </w:r>
      <w:r w:rsidR="00B75AE7" w:rsidRPr="00FD2428">
        <w:rPr>
          <w:rFonts w:eastAsia="Times New Roman"/>
          <w:lang w:eastAsia="cs-CZ"/>
        </w:rPr>
        <w:t xml:space="preserve"> (84,2 %)</w:t>
      </w:r>
    </w:p>
    <w:p w:rsidR="00B75AE7" w:rsidRDefault="00B75AE7" w:rsidP="00B75AE7">
      <w:pPr>
        <w:pStyle w:val="Bezmezer"/>
        <w:rPr>
          <w:lang w:eastAsia="cs-CZ"/>
        </w:rPr>
      </w:pPr>
      <w:r w:rsidRPr="00FD2428">
        <w:rPr>
          <w:lang w:eastAsia="cs-CZ"/>
        </w:rPr>
        <w:t xml:space="preserve">Nejnižší </w:t>
      </w:r>
      <w:r w:rsidR="00FD2428" w:rsidRPr="00FD2428">
        <w:rPr>
          <w:lang w:eastAsia="cs-CZ"/>
        </w:rPr>
        <w:t>hodnota byla přidělena tématu pravidelných kroužků/ doučování/ mimoškolních aktivit v oblasti matematické gramotnosti a to 68,4 % (</w:t>
      </w:r>
      <w:r w:rsidR="00B21687">
        <w:rPr>
          <w:lang w:eastAsia="cs-CZ"/>
        </w:rPr>
        <w:t>stejná minimální hodnota</w:t>
      </w:r>
      <w:r w:rsidR="00FD2428" w:rsidRPr="00FD2428">
        <w:rPr>
          <w:lang w:eastAsia="cs-CZ"/>
        </w:rPr>
        <w:t xml:space="preserve"> jako v případě čtenářské gramotnosti). </w:t>
      </w:r>
      <w:r w:rsidRPr="00FD2428">
        <w:rPr>
          <w:lang w:eastAsia="cs-CZ"/>
        </w:rPr>
        <w:t xml:space="preserve"> </w:t>
      </w:r>
      <w:r w:rsidR="00FD2428" w:rsidRPr="00FD2428">
        <w:rPr>
          <w:lang w:eastAsia="cs-CZ"/>
        </w:rPr>
        <w:t xml:space="preserve">Znovu se tedy objevuje </w:t>
      </w:r>
      <w:r w:rsidR="00FD2428" w:rsidRPr="00FD2428">
        <w:rPr>
          <w:b/>
          <w:lang w:eastAsia="cs-CZ"/>
        </w:rPr>
        <w:t>problematika mimoškolních</w:t>
      </w:r>
      <w:r w:rsidRPr="00FD2428">
        <w:rPr>
          <w:b/>
          <w:lang w:eastAsia="cs-CZ"/>
        </w:rPr>
        <w:t xml:space="preserve"> aktivit, </w:t>
      </w:r>
      <w:r w:rsidRPr="00FD2428">
        <w:rPr>
          <w:lang w:eastAsia="cs-CZ"/>
        </w:rPr>
        <w:t>která</w:t>
      </w:r>
      <w:r w:rsidR="00FD2428" w:rsidRPr="00FD2428">
        <w:rPr>
          <w:lang w:eastAsia="cs-CZ"/>
        </w:rPr>
        <w:t xml:space="preserve"> není snad ani tak otázkou chutě do práce, jako spíše nedostatku </w:t>
      </w:r>
      <w:r w:rsidRPr="00FD2428">
        <w:rPr>
          <w:b/>
          <w:lang w:eastAsia="cs-CZ"/>
        </w:rPr>
        <w:t>čas</w:t>
      </w:r>
      <w:r w:rsidR="00FD2428" w:rsidRPr="00FD2428">
        <w:rPr>
          <w:b/>
          <w:lang w:eastAsia="cs-CZ"/>
        </w:rPr>
        <w:t>u</w:t>
      </w:r>
      <w:r w:rsidRPr="00FD2428">
        <w:rPr>
          <w:b/>
          <w:lang w:eastAsia="cs-CZ"/>
        </w:rPr>
        <w:t>, finan</w:t>
      </w:r>
      <w:r w:rsidR="00FD2428" w:rsidRPr="00FD2428">
        <w:rPr>
          <w:b/>
          <w:lang w:eastAsia="cs-CZ"/>
        </w:rPr>
        <w:t>cí</w:t>
      </w:r>
      <w:r w:rsidRPr="00FD2428">
        <w:rPr>
          <w:b/>
          <w:lang w:eastAsia="cs-CZ"/>
        </w:rPr>
        <w:t xml:space="preserve"> a </w:t>
      </w:r>
      <w:r w:rsidR="00FD2428" w:rsidRPr="00FD2428">
        <w:rPr>
          <w:b/>
          <w:lang w:eastAsia="cs-CZ"/>
        </w:rPr>
        <w:t xml:space="preserve">z toho plynoucího </w:t>
      </w:r>
      <w:r w:rsidR="00B21687" w:rsidRPr="00FD2428">
        <w:rPr>
          <w:b/>
          <w:lang w:eastAsia="cs-CZ"/>
        </w:rPr>
        <w:t xml:space="preserve">nedostatku </w:t>
      </w:r>
      <w:r w:rsidRPr="00FD2428">
        <w:rPr>
          <w:b/>
          <w:lang w:eastAsia="cs-CZ"/>
        </w:rPr>
        <w:t>personální</w:t>
      </w:r>
      <w:r w:rsidR="00FD2428" w:rsidRPr="00FD2428">
        <w:rPr>
          <w:b/>
          <w:lang w:eastAsia="cs-CZ"/>
        </w:rPr>
        <w:t>ho</w:t>
      </w:r>
      <w:r w:rsidRPr="00FD2428">
        <w:rPr>
          <w:lang w:eastAsia="cs-CZ"/>
        </w:rPr>
        <w:t>.</w:t>
      </w:r>
    </w:p>
    <w:p w:rsidR="0047790D" w:rsidRPr="00117ADD" w:rsidRDefault="0047790D" w:rsidP="00B75AE7">
      <w:pPr>
        <w:pStyle w:val="Bezmezer"/>
        <w:rPr>
          <w:lang w:eastAsia="cs-CZ"/>
        </w:rPr>
      </w:pPr>
    </w:p>
    <w:p w:rsidR="00B75AE7" w:rsidRPr="00567927" w:rsidRDefault="00B75AE7" w:rsidP="00B75AE7">
      <w:pPr>
        <w:pStyle w:val="Nadpis5"/>
      </w:pPr>
      <w:r w:rsidRPr="00567927">
        <w:lastRenderedPageBreak/>
        <w:t xml:space="preserve">Tabulka: </w:t>
      </w:r>
      <w:r w:rsidR="000B7DE5">
        <w:t>Matematická</w:t>
      </w:r>
      <w:r w:rsidRPr="00567927">
        <w:t xml:space="preserve"> gramotnost</w:t>
      </w:r>
    </w:p>
    <w:tbl>
      <w:tblPr>
        <w:tblW w:w="9089" w:type="dxa"/>
        <w:tblInd w:w="53" w:type="dxa"/>
        <w:tblLayout w:type="fixed"/>
        <w:tblCellMar>
          <w:left w:w="70" w:type="dxa"/>
          <w:right w:w="70" w:type="dxa"/>
        </w:tblCellMar>
        <w:tblLook w:val="04A0"/>
      </w:tblPr>
      <w:tblGrid>
        <w:gridCol w:w="4979"/>
        <w:gridCol w:w="992"/>
        <w:gridCol w:w="992"/>
        <w:gridCol w:w="992"/>
        <w:gridCol w:w="567"/>
        <w:gridCol w:w="567"/>
      </w:tblGrid>
      <w:tr w:rsidR="000B7DE5" w:rsidRPr="000B7DE5" w:rsidTr="00DF4192">
        <w:trPr>
          <w:trHeight w:val="227"/>
        </w:trPr>
        <w:tc>
          <w:tcPr>
            <w:tcW w:w="4979" w:type="dxa"/>
            <w:vMerge w:val="restart"/>
            <w:tcBorders>
              <w:bottom w:val="single" w:sz="4" w:space="0" w:color="000000"/>
              <w:right w:val="single" w:sz="4" w:space="0" w:color="auto"/>
            </w:tcBorders>
            <w:shd w:val="clear" w:color="000000" w:fill="FAC090"/>
            <w:vAlign w:val="center"/>
            <w:hideMark/>
          </w:tcPr>
          <w:p w:rsidR="000B7DE5" w:rsidRPr="000B7DE5" w:rsidRDefault="000B7DE5" w:rsidP="00B554CA">
            <w:pPr>
              <w:pStyle w:val="Nzev"/>
              <w:jc w:val="left"/>
              <w:rPr>
                <w:rFonts w:eastAsia="Times New Roman"/>
                <w:lang w:eastAsia="cs-CZ"/>
              </w:rPr>
            </w:pPr>
          </w:p>
        </w:tc>
        <w:tc>
          <w:tcPr>
            <w:tcW w:w="1984" w:type="dxa"/>
            <w:gridSpan w:val="2"/>
            <w:tcBorders>
              <w:left w:val="nil"/>
              <w:bottom w:val="nil"/>
              <w:right w:val="single" w:sz="4" w:space="0" w:color="000000"/>
            </w:tcBorders>
            <w:shd w:val="clear" w:color="000000" w:fill="FAC090"/>
            <w:vAlign w:val="bottom"/>
            <w:hideMark/>
          </w:tcPr>
          <w:p w:rsidR="000B7DE5" w:rsidRPr="000B7DE5" w:rsidRDefault="000B7DE5" w:rsidP="00B554CA">
            <w:pPr>
              <w:pStyle w:val="Nzev"/>
              <w:jc w:val="center"/>
              <w:rPr>
                <w:rFonts w:eastAsia="Times New Roman"/>
                <w:lang w:eastAsia="cs-CZ"/>
              </w:rPr>
            </w:pPr>
            <w:r w:rsidRPr="000B7DE5">
              <w:rPr>
                <w:rFonts w:eastAsia="Times New Roman"/>
                <w:lang w:eastAsia="cs-CZ"/>
              </w:rPr>
              <w:t>Podíl ZŠ v rámci ORP plánujících zlepšení</w:t>
            </w:r>
          </w:p>
        </w:tc>
        <w:tc>
          <w:tcPr>
            <w:tcW w:w="2126" w:type="dxa"/>
            <w:gridSpan w:val="3"/>
            <w:tcBorders>
              <w:left w:val="nil"/>
              <w:bottom w:val="nil"/>
            </w:tcBorders>
            <w:shd w:val="clear" w:color="000000" w:fill="FAC090"/>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Průměrné hodnocení aktuálního stavu</w:t>
            </w:r>
          </w:p>
        </w:tc>
      </w:tr>
      <w:tr w:rsidR="000B7DE5" w:rsidRPr="000B7DE5" w:rsidTr="00DF4192">
        <w:trPr>
          <w:trHeight w:val="227"/>
        </w:trPr>
        <w:tc>
          <w:tcPr>
            <w:tcW w:w="4979" w:type="dxa"/>
            <w:vMerge/>
            <w:tcBorders>
              <w:top w:val="single" w:sz="8" w:space="0" w:color="auto"/>
              <w:bottom w:val="single" w:sz="4" w:space="0" w:color="000000"/>
              <w:right w:val="single" w:sz="4" w:space="0" w:color="auto"/>
            </w:tcBorders>
            <w:vAlign w:val="center"/>
            <w:hideMark/>
          </w:tcPr>
          <w:p w:rsidR="000B7DE5" w:rsidRPr="000B7DE5" w:rsidRDefault="000B7DE5" w:rsidP="00B554CA">
            <w:pPr>
              <w:pStyle w:val="Nzev"/>
              <w:jc w:val="left"/>
              <w:rPr>
                <w:rFonts w:eastAsia="Times New Roman"/>
                <w:lang w:eastAsia="cs-CZ"/>
              </w:rPr>
            </w:pP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2016–18</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2019–20</w:t>
            </w:r>
          </w:p>
        </w:tc>
        <w:tc>
          <w:tcPr>
            <w:tcW w:w="992" w:type="dxa"/>
            <w:tcBorders>
              <w:top w:val="single" w:sz="4" w:space="0" w:color="auto"/>
              <w:left w:val="nil"/>
              <w:bottom w:val="single" w:sz="4" w:space="0" w:color="auto"/>
              <w:right w:val="nil"/>
            </w:tcBorders>
            <w:shd w:val="clear" w:color="000000" w:fill="FAC090"/>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SO ORP</w:t>
            </w:r>
          </w:p>
        </w:tc>
        <w:tc>
          <w:tcPr>
            <w:tcW w:w="567" w:type="dxa"/>
            <w:tcBorders>
              <w:top w:val="single" w:sz="4" w:space="0" w:color="auto"/>
              <w:left w:val="single" w:sz="4" w:space="0" w:color="auto"/>
              <w:bottom w:val="single" w:sz="4" w:space="0" w:color="auto"/>
              <w:right w:val="single" w:sz="4" w:space="0" w:color="000000"/>
            </w:tcBorders>
            <w:shd w:val="clear" w:color="000000" w:fill="FAC090"/>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kraj</w:t>
            </w:r>
          </w:p>
        </w:tc>
        <w:tc>
          <w:tcPr>
            <w:tcW w:w="567" w:type="dxa"/>
            <w:tcBorders>
              <w:top w:val="single" w:sz="4" w:space="0" w:color="auto"/>
              <w:left w:val="nil"/>
              <w:bottom w:val="single" w:sz="4" w:space="0" w:color="auto"/>
            </w:tcBorders>
            <w:shd w:val="clear" w:color="000000" w:fill="FAC090"/>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ČR</w:t>
            </w:r>
          </w:p>
        </w:tc>
      </w:tr>
      <w:tr w:rsidR="000B7DE5" w:rsidRPr="000B7DE5" w:rsidTr="00DF4192">
        <w:trPr>
          <w:trHeight w:val="227"/>
        </w:trPr>
        <w:tc>
          <w:tcPr>
            <w:tcW w:w="4979" w:type="dxa"/>
            <w:tcBorders>
              <w:top w:val="nil"/>
              <w:bottom w:val="nil"/>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Škola podporuje rozvoj matematické gramotnosti v rámci školních vzdělávacích programů (má stanoveny konkrétní cíle)</w:t>
            </w:r>
          </w:p>
        </w:tc>
        <w:tc>
          <w:tcPr>
            <w:tcW w:w="992" w:type="dxa"/>
            <w:tcBorders>
              <w:top w:val="single" w:sz="4" w:space="0" w:color="auto"/>
              <w:left w:val="nil"/>
              <w:bottom w:val="nil"/>
              <w:right w:val="single" w:sz="4" w:space="0" w:color="auto"/>
            </w:tcBorders>
            <w:shd w:val="clear" w:color="000000" w:fill="C6EFCE"/>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89,5%</w:t>
            </w:r>
          </w:p>
        </w:tc>
        <w:tc>
          <w:tcPr>
            <w:tcW w:w="992" w:type="dxa"/>
            <w:tcBorders>
              <w:top w:val="nil"/>
              <w:left w:val="nil"/>
              <w:bottom w:val="nil"/>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3,00</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2,83</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2,82</w:t>
            </w:r>
          </w:p>
        </w:tc>
      </w:tr>
      <w:tr w:rsidR="000B7DE5" w:rsidRPr="000B7DE5" w:rsidTr="00DF4192">
        <w:trPr>
          <w:trHeight w:val="227"/>
        </w:trPr>
        <w:tc>
          <w:tcPr>
            <w:tcW w:w="4979" w:type="dxa"/>
            <w:tcBorders>
              <w:top w:val="single" w:sz="4" w:space="0" w:color="auto"/>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Učitelé 1. i 2. stupně rozvíjejí své znalosti v oblasti matematické gramotnosti a využívají je ve výuce (kurzy dalšího vzdělávání, studium literatury aj.)</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84,2%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2,74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2,65</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2,65</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 xml:space="preserve">Učitelé 1. i 2. stupně využívají poznatky v praxi a sdílejí dobrou praxi v oblasti matematické gramotnosti mezi sebou i s učiteli z jiných škol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94,7%</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2,58</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2,38</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2,34</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Ve škole je podporováno matematické myšlení u žáků (příklady k řešení a pochopení každodenních situací, situací spojených s budoucí profesí nebo k objasnění přírodních zákonů, atp.)</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2,79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2,76</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2,75</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Škola podporuje individuální práci s žáky s mimořádným zájmem o matematiku</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2,37</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2,36</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2,30</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 xml:space="preserve">Ve škole existují pravidelné kroužky / doučování/ mimoškolní aktivity v oblasti matematické gramotnosti (např. kroužek zábavné logiky apod.) </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15,8%</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2,21</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1,81</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1,83</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 xml:space="preserve">Ve škole jsou realizovány </w:t>
            </w:r>
            <w:proofErr w:type="spellStart"/>
            <w:r w:rsidRPr="000B7DE5">
              <w:rPr>
                <w:rFonts w:eastAsia="Times New Roman"/>
                <w:lang w:eastAsia="cs-CZ"/>
              </w:rPr>
              <w:t>mimovýukové</w:t>
            </w:r>
            <w:proofErr w:type="spellEnd"/>
            <w:r w:rsidRPr="000B7DE5">
              <w:rPr>
                <w:rFonts w:eastAsia="Times New Roman"/>
                <w:lang w:eastAsia="cs-CZ"/>
              </w:rPr>
              <w:t xml:space="preserve"> akce pro žáky na podporu matematické gramotnosti a zvýšení motivace (např. projektové dny apod.)</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1,89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1,78</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1,75</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Škola informuje a spolupracuje v oblasti matematické gramotnosti s rodiči (představení kroužků, aktivit a profesí spojených s rozvojem matematické gramotnosti např. projektové dny, dny otevřených dveří apod.)</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1,74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1,75</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1,73</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Škola disponuje dostatečným technickým a materiálním zabezpečením pro rozvoj matematické gramotnosti</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10,5%</w:t>
            </w:r>
          </w:p>
        </w:tc>
        <w:tc>
          <w:tcPr>
            <w:tcW w:w="992" w:type="dxa"/>
            <w:tcBorders>
              <w:top w:val="single" w:sz="4" w:space="0" w:color="auto"/>
              <w:left w:val="nil"/>
              <w:bottom w:val="single" w:sz="4" w:space="0" w:color="auto"/>
              <w:right w:val="nil"/>
            </w:tcBorders>
            <w:shd w:val="clear" w:color="000000" w:fill="E6B9B8"/>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2,37</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2,40</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2,41</w:t>
            </w:r>
          </w:p>
        </w:tc>
      </w:tr>
      <w:tr w:rsidR="000B7DE5" w:rsidRPr="000B7DE5"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0B7DE5" w:rsidRPr="000B7DE5" w:rsidRDefault="000B7DE5" w:rsidP="00B554CA">
            <w:pPr>
              <w:pStyle w:val="Nzev"/>
              <w:jc w:val="left"/>
              <w:rPr>
                <w:rFonts w:eastAsia="Times New Roman"/>
                <w:lang w:eastAsia="cs-CZ"/>
              </w:rPr>
            </w:pPr>
            <w:r w:rsidRPr="000B7DE5">
              <w:rPr>
                <w:rFonts w:eastAsia="Times New Roman"/>
                <w:lang w:eastAsia="cs-CZ"/>
              </w:rPr>
              <w:t>Ve škole jsou využívána interaktivní média, informační a komunikační technologie v oblasti rozvoje matematické gramotnosti</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2,89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2,73</w:t>
            </w:r>
          </w:p>
        </w:tc>
        <w:tc>
          <w:tcPr>
            <w:tcW w:w="567" w:type="dxa"/>
            <w:tcBorders>
              <w:top w:val="single" w:sz="4" w:space="0" w:color="auto"/>
              <w:left w:val="nil"/>
              <w:bottom w:val="single" w:sz="4" w:space="0" w:color="auto"/>
            </w:tcBorders>
            <w:shd w:val="clear" w:color="000000" w:fill="FFFFFF"/>
            <w:vAlign w:val="center"/>
            <w:hideMark/>
          </w:tcPr>
          <w:p w:rsidR="000B7DE5" w:rsidRPr="000B7DE5" w:rsidRDefault="000B7DE5" w:rsidP="00B554CA">
            <w:pPr>
              <w:pStyle w:val="Nzev"/>
              <w:jc w:val="center"/>
              <w:rPr>
                <w:rFonts w:eastAsia="Times New Roman"/>
                <w:lang w:eastAsia="cs-CZ"/>
              </w:rPr>
            </w:pPr>
            <w:r w:rsidRPr="000B7DE5">
              <w:rPr>
                <w:rFonts w:eastAsia="Times New Roman"/>
                <w:lang w:eastAsia="cs-CZ"/>
              </w:rPr>
              <w:t>2,70</w:t>
            </w:r>
          </w:p>
        </w:tc>
      </w:tr>
      <w:tr w:rsidR="000B7DE5" w:rsidRPr="00FD2FBB" w:rsidTr="00DF4192">
        <w:trPr>
          <w:trHeight w:val="227"/>
        </w:trPr>
        <w:tc>
          <w:tcPr>
            <w:tcW w:w="4979" w:type="dxa"/>
            <w:tcBorders>
              <w:top w:val="nil"/>
              <w:right w:val="single" w:sz="4" w:space="0" w:color="auto"/>
            </w:tcBorders>
            <w:shd w:val="clear" w:color="auto" w:fill="auto"/>
            <w:vAlign w:val="center"/>
            <w:hideMark/>
          </w:tcPr>
          <w:p w:rsidR="000B7DE5" w:rsidRPr="00FD2FBB" w:rsidRDefault="000B7DE5" w:rsidP="00B554CA">
            <w:pPr>
              <w:pStyle w:val="Nzev"/>
              <w:jc w:val="left"/>
              <w:rPr>
                <w:rFonts w:eastAsia="Times New Roman"/>
                <w:lang w:eastAsia="cs-CZ"/>
              </w:rPr>
            </w:pPr>
            <w:r w:rsidRPr="00FD2FBB">
              <w:rPr>
                <w:rFonts w:eastAsia="Times New Roman"/>
                <w:lang w:eastAsia="cs-CZ"/>
              </w:rPr>
              <w:t>Škola pravidelně nakupuje aktuální literaturu, multimédia pro rozvoj matematické gramotnosti na 1. i 2. stupni ZŠ</w:t>
            </w:r>
          </w:p>
        </w:tc>
        <w:tc>
          <w:tcPr>
            <w:tcW w:w="992" w:type="dxa"/>
            <w:tcBorders>
              <w:top w:val="nil"/>
              <w:left w:val="nil"/>
              <w:right w:val="single" w:sz="4" w:space="0" w:color="auto"/>
            </w:tcBorders>
            <w:shd w:val="clear" w:color="000000" w:fill="FFFFFF"/>
            <w:vAlign w:val="center"/>
            <w:hideMark/>
          </w:tcPr>
          <w:p w:rsidR="000B7DE5" w:rsidRPr="00FD2FBB" w:rsidRDefault="000B7DE5" w:rsidP="00B554CA">
            <w:pPr>
              <w:pStyle w:val="Nzev"/>
              <w:jc w:val="center"/>
              <w:rPr>
                <w:rFonts w:eastAsia="Times New Roman"/>
                <w:lang w:eastAsia="cs-CZ"/>
              </w:rPr>
            </w:pPr>
            <w:r w:rsidRPr="00FD2FBB">
              <w:rPr>
                <w:rFonts w:eastAsia="Times New Roman"/>
                <w:lang w:eastAsia="cs-CZ"/>
              </w:rPr>
              <w:t>78,9%</w:t>
            </w:r>
          </w:p>
        </w:tc>
        <w:tc>
          <w:tcPr>
            <w:tcW w:w="992" w:type="dxa"/>
            <w:tcBorders>
              <w:top w:val="nil"/>
              <w:left w:val="nil"/>
              <w:right w:val="single" w:sz="4" w:space="0" w:color="auto"/>
            </w:tcBorders>
            <w:shd w:val="clear" w:color="000000" w:fill="FFFFFF"/>
            <w:vAlign w:val="center"/>
            <w:hideMark/>
          </w:tcPr>
          <w:p w:rsidR="000B7DE5" w:rsidRPr="00FD2FBB" w:rsidRDefault="000B7DE5" w:rsidP="00B554CA">
            <w:pPr>
              <w:pStyle w:val="Nzev"/>
              <w:jc w:val="center"/>
              <w:rPr>
                <w:rFonts w:eastAsia="Times New Roman"/>
                <w:lang w:eastAsia="cs-CZ"/>
              </w:rPr>
            </w:pPr>
            <w:r w:rsidRPr="00FD2FBB">
              <w:rPr>
                <w:rFonts w:eastAsia="Times New Roman"/>
                <w:lang w:eastAsia="cs-CZ"/>
              </w:rPr>
              <w:t>5,3%</w:t>
            </w:r>
          </w:p>
        </w:tc>
        <w:tc>
          <w:tcPr>
            <w:tcW w:w="992" w:type="dxa"/>
            <w:tcBorders>
              <w:top w:val="single" w:sz="4" w:space="0" w:color="auto"/>
              <w:left w:val="nil"/>
              <w:right w:val="nil"/>
            </w:tcBorders>
            <w:shd w:val="clear" w:color="000000" w:fill="FFFFFF"/>
            <w:vAlign w:val="center"/>
            <w:hideMark/>
          </w:tcPr>
          <w:p w:rsidR="000B7DE5" w:rsidRPr="00FD2FBB" w:rsidRDefault="000B7DE5" w:rsidP="00B554CA">
            <w:pPr>
              <w:pStyle w:val="Nzev"/>
              <w:jc w:val="center"/>
              <w:rPr>
                <w:rFonts w:eastAsia="Times New Roman"/>
                <w:lang w:eastAsia="cs-CZ"/>
              </w:rPr>
            </w:pPr>
            <w:r w:rsidRPr="00FD2FBB">
              <w:rPr>
                <w:rFonts w:eastAsia="Times New Roman"/>
                <w:lang w:eastAsia="cs-CZ"/>
              </w:rPr>
              <w:t>2,74</w:t>
            </w:r>
          </w:p>
        </w:tc>
        <w:tc>
          <w:tcPr>
            <w:tcW w:w="567" w:type="dxa"/>
            <w:tcBorders>
              <w:top w:val="single" w:sz="4" w:space="0" w:color="auto"/>
              <w:left w:val="single" w:sz="4" w:space="0" w:color="auto"/>
              <w:right w:val="single" w:sz="4" w:space="0" w:color="000000"/>
            </w:tcBorders>
            <w:shd w:val="clear" w:color="000000" w:fill="FFFFFF"/>
            <w:vAlign w:val="center"/>
            <w:hideMark/>
          </w:tcPr>
          <w:p w:rsidR="000B7DE5" w:rsidRPr="00FD2FBB" w:rsidRDefault="000B7DE5" w:rsidP="00B554CA">
            <w:pPr>
              <w:pStyle w:val="Nzev"/>
              <w:jc w:val="center"/>
              <w:rPr>
                <w:rFonts w:eastAsia="Times New Roman"/>
                <w:lang w:eastAsia="cs-CZ"/>
              </w:rPr>
            </w:pPr>
            <w:r w:rsidRPr="00FD2FBB">
              <w:rPr>
                <w:rFonts w:eastAsia="Times New Roman"/>
                <w:lang w:eastAsia="cs-CZ"/>
              </w:rPr>
              <w:t>2,37</w:t>
            </w:r>
          </w:p>
        </w:tc>
        <w:tc>
          <w:tcPr>
            <w:tcW w:w="567" w:type="dxa"/>
            <w:tcBorders>
              <w:top w:val="single" w:sz="4" w:space="0" w:color="auto"/>
              <w:left w:val="nil"/>
            </w:tcBorders>
            <w:shd w:val="clear" w:color="000000" w:fill="FFFFFF"/>
            <w:vAlign w:val="center"/>
            <w:hideMark/>
          </w:tcPr>
          <w:p w:rsidR="000B7DE5" w:rsidRPr="00FD2FBB" w:rsidRDefault="000B7DE5" w:rsidP="00B554CA">
            <w:pPr>
              <w:pStyle w:val="Nzev"/>
              <w:jc w:val="center"/>
              <w:rPr>
                <w:rFonts w:eastAsia="Times New Roman"/>
                <w:lang w:eastAsia="cs-CZ"/>
              </w:rPr>
            </w:pPr>
            <w:r w:rsidRPr="00FD2FBB">
              <w:rPr>
                <w:rFonts w:eastAsia="Times New Roman"/>
                <w:lang w:eastAsia="cs-CZ"/>
              </w:rPr>
              <w:t>2,35</w:t>
            </w:r>
          </w:p>
        </w:tc>
      </w:tr>
    </w:tbl>
    <w:p w:rsidR="00FD2FBB" w:rsidRPr="0065542E" w:rsidRDefault="003329B0" w:rsidP="00B75AE7">
      <w:pPr>
        <w:pStyle w:val="Bezmezer"/>
        <w:rPr>
          <w:lang w:eastAsia="cs-CZ"/>
        </w:rPr>
      </w:pPr>
      <w:r>
        <w:rPr>
          <w:lang w:eastAsia="cs-CZ"/>
        </w:rPr>
        <w:t>Co se hlediska aktuálního stavu týká, j</w:t>
      </w:r>
      <w:r w:rsidR="00FD2FBB" w:rsidRPr="00FD2FBB">
        <w:rPr>
          <w:lang w:eastAsia="cs-CZ"/>
        </w:rPr>
        <w:t>ediná hodnota, ve které zaostává SO ORP za krajským i celorepublikovým průměrem, představuje dis</w:t>
      </w:r>
      <w:r>
        <w:rPr>
          <w:lang w:eastAsia="cs-CZ"/>
        </w:rPr>
        <w:t xml:space="preserve">ponibilita materiálním zázemím. </w:t>
      </w:r>
      <w:r w:rsidR="00AE35BB">
        <w:rPr>
          <w:lang w:eastAsia="cs-CZ"/>
        </w:rPr>
        <w:t xml:space="preserve">V rámci samotného SO ORP potom nejnižších </w:t>
      </w:r>
      <w:r>
        <w:rPr>
          <w:lang w:eastAsia="cs-CZ"/>
        </w:rPr>
        <w:t xml:space="preserve">míry aktuální připravenosti dosahují témata </w:t>
      </w:r>
      <w:proofErr w:type="spellStart"/>
      <w:r>
        <w:rPr>
          <w:lang w:eastAsia="cs-CZ"/>
        </w:rPr>
        <w:t>mimovýukových</w:t>
      </w:r>
      <w:proofErr w:type="spellEnd"/>
      <w:r>
        <w:rPr>
          <w:lang w:eastAsia="cs-CZ"/>
        </w:rPr>
        <w:t xml:space="preserve"> aktivit a komunikace mezi školou a vnějším prostředím. V obou případech jde rovněž o </w:t>
      </w:r>
      <w:r w:rsidRPr="003329B0">
        <w:rPr>
          <w:b/>
          <w:lang w:eastAsia="cs-CZ"/>
        </w:rPr>
        <w:t>upozaďovaný rozvoj nadstandardu</w:t>
      </w:r>
      <w:r>
        <w:rPr>
          <w:lang w:eastAsia="cs-CZ"/>
        </w:rPr>
        <w:t xml:space="preserve"> tak, jak je souča</w:t>
      </w:r>
      <w:r w:rsidRPr="0065542E">
        <w:rPr>
          <w:lang w:eastAsia="cs-CZ"/>
        </w:rPr>
        <w:t>sným školstvím chápán.</w:t>
      </w:r>
    </w:p>
    <w:p w:rsidR="00B75AE7" w:rsidRPr="004E3B6B" w:rsidRDefault="0065542E" w:rsidP="00B75AE7">
      <w:pPr>
        <w:pStyle w:val="Bezmezer"/>
        <w:rPr>
          <w:lang w:eastAsia="cs-CZ"/>
        </w:rPr>
      </w:pPr>
      <w:r w:rsidRPr="0065542E">
        <w:rPr>
          <w:lang w:eastAsia="cs-CZ"/>
        </w:rPr>
        <w:t xml:space="preserve">Výše zmíněné můžeme opět potvrdit doplňujícími informacemi, které se týkaly nejčastěji zmiňovaných překážek pro </w:t>
      </w:r>
      <w:r w:rsidRPr="004E3B6B">
        <w:rPr>
          <w:lang w:eastAsia="cs-CZ"/>
        </w:rPr>
        <w:t xml:space="preserve">další rozvoj matematické gramotnosti: </w:t>
      </w:r>
    </w:p>
    <w:p w:rsidR="00B75AE7" w:rsidRPr="004E3B6B" w:rsidRDefault="00790482" w:rsidP="00790482">
      <w:pPr>
        <w:pStyle w:val="Nzev"/>
        <w:numPr>
          <w:ilvl w:val="0"/>
          <w:numId w:val="33"/>
        </w:numPr>
        <w:rPr>
          <w:rFonts w:eastAsia="Times New Roman"/>
          <w:lang w:eastAsia="cs-CZ"/>
        </w:rPr>
      </w:pPr>
      <w:r w:rsidRPr="004E3B6B">
        <w:rPr>
          <w:rFonts w:eastAsia="Times New Roman"/>
          <w:lang w:eastAsia="cs-CZ"/>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r w:rsidR="00B75AE7" w:rsidRPr="004E3B6B">
        <w:rPr>
          <w:rFonts w:eastAsia="Times New Roman"/>
          <w:lang w:eastAsia="cs-CZ"/>
        </w:rPr>
        <w:t xml:space="preserve"> (</w:t>
      </w:r>
      <w:r w:rsidR="004E3B6B" w:rsidRPr="004E3B6B">
        <w:rPr>
          <w:rFonts w:eastAsia="Times New Roman"/>
          <w:lang w:eastAsia="cs-CZ"/>
        </w:rPr>
        <w:t>68</w:t>
      </w:r>
      <w:r w:rsidR="00B75AE7" w:rsidRPr="004E3B6B">
        <w:rPr>
          <w:rFonts w:eastAsia="Times New Roman"/>
          <w:lang w:eastAsia="cs-CZ"/>
        </w:rPr>
        <w:t>,</w:t>
      </w:r>
      <w:r w:rsidR="004E3B6B" w:rsidRPr="004E3B6B">
        <w:rPr>
          <w:rFonts w:eastAsia="Times New Roman"/>
          <w:lang w:eastAsia="cs-CZ"/>
        </w:rPr>
        <w:t>4</w:t>
      </w:r>
      <w:r w:rsidR="00B75AE7" w:rsidRPr="004E3B6B">
        <w:rPr>
          <w:rFonts w:eastAsia="Times New Roman"/>
          <w:lang w:eastAsia="cs-CZ"/>
        </w:rPr>
        <w:t xml:space="preserve"> %)</w:t>
      </w:r>
    </w:p>
    <w:p w:rsidR="00B75AE7" w:rsidRPr="004E3B6B" w:rsidRDefault="004E3B6B" w:rsidP="00B75AE7">
      <w:pPr>
        <w:pStyle w:val="Nzev"/>
        <w:numPr>
          <w:ilvl w:val="0"/>
          <w:numId w:val="33"/>
        </w:numPr>
        <w:rPr>
          <w:rFonts w:eastAsia="Times New Roman"/>
          <w:lang w:eastAsia="cs-CZ"/>
        </w:rPr>
      </w:pPr>
      <w:r w:rsidRPr="004E3B6B">
        <w:rPr>
          <w:rFonts w:eastAsia="Times New Roman"/>
          <w:lang w:eastAsia="cs-CZ"/>
        </w:rPr>
        <w:t>Nedostatečné materiálně technické podmínky pro rozvoj v příslušné oblasti gramotnosti mimo školu (exkurze, výstavy, tematické programy apod.)</w:t>
      </w:r>
      <w:r w:rsidR="00B75AE7" w:rsidRPr="004E3B6B">
        <w:rPr>
          <w:rFonts w:eastAsia="Times New Roman"/>
          <w:lang w:eastAsia="cs-CZ"/>
        </w:rPr>
        <w:t>. (</w:t>
      </w:r>
      <w:r w:rsidRPr="004E3B6B">
        <w:rPr>
          <w:rFonts w:eastAsia="Times New Roman"/>
          <w:lang w:eastAsia="cs-CZ"/>
        </w:rPr>
        <w:t>63,2</w:t>
      </w:r>
      <w:r w:rsidR="00B75AE7" w:rsidRPr="004E3B6B">
        <w:rPr>
          <w:rFonts w:eastAsia="Times New Roman"/>
          <w:lang w:eastAsia="cs-CZ"/>
        </w:rPr>
        <w:t xml:space="preserve"> %)</w:t>
      </w:r>
    </w:p>
    <w:p w:rsidR="00B75AE7" w:rsidRPr="004E3B6B" w:rsidRDefault="004E3B6B" w:rsidP="00B75AE7">
      <w:pPr>
        <w:pStyle w:val="Nzev"/>
        <w:numPr>
          <w:ilvl w:val="0"/>
          <w:numId w:val="33"/>
        </w:numPr>
        <w:rPr>
          <w:rFonts w:eastAsia="Times New Roman"/>
          <w:lang w:eastAsia="cs-CZ"/>
        </w:rPr>
      </w:pPr>
      <w:r w:rsidRPr="004E3B6B">
        <w:rPr>
          <w:rFonts w:eastAsia="Times New Roman"/>
          <w:lang w:eastAsia="cs-CZ"/>
        </w:rPr>
        <w:t>Chybějící nebo nedostatečný srovnávací nástroj úrovně gramotnosti pro žáky daného věku nebo ročníku</w:t>
      </w:r>
      <w:r w:rsidR="00B75AE7" w:rsidRPr="004E3B6B">
        <w:rPr>
          <w:rFonts w:eastAsia="Times New Roman"/>
          <w:lang w:eastAsia="cs-CZ"/>
        </w:rPr>
        <w:t>. (</w:t>
      </w:r>
      <w:r w:rsidR="00A34108">
        <w:rPr>
          <w:rFonts w:eastAsia="Times New Roman"/>
          <w:lang w:eastAsia="cs-CZ"/>
        </w:rPr>
        <w:t>52,6</w:t>
      </w:r>
      <w:r w:rsidR="00B75AE7" w:rsidRPr="004E3B6B">
        <w:rPr>
          <w:rFonts w:eastAsia="Times New Roman"/>
          <w:lang w:eastAsia="cs-CZ"/>
        </w:rPr>
        <w:t xml:space="preserve"> %)</w:t>
      </w:r>
    </w:p>
    <w:p w:rsidR="00CE0B30" w:rsidRDefault="004E3B6B" w:rsidP="00B75AE7">
      <w:pPr>
        <w:pStyle w:val="Bezmezer"/>
        <w:rPr>
          <w:lang w:eastAsia="cs-CZ"/>
        </w:rPr>
      </w:pPr>
      <w:r w:rsidRPr="004E3B6B">
        <w:rPr>
          <w:lang w:eastAsia="cs-CZ"/>
        </w:rPr>
        <w:t xml:space="preserve">První dvě odrážky nejsou z hlediska dosavadního textu ničím překvapivým, zajímavá je však vysoká frekventovanost tématu </w:t>
      </w:r>
      <w:r w:rsidRPr="0096243E">
        <w:rPr>
          <w:b/>
          <w:lang w:eastAsia="cs-CZ"/>
        </w:rPr>
        <w:t>absence srovnávacích nástrojů úrovně gramotnosti</w:t>
      </w:r>
      <w:r w:rsidRPr="004E3B6B">
        <w:rPr>
          <w:lang w:eastAsia="cs-CZ"/>
        </w:rPr>
        <w:t xml:space="preserve">. </w:t>
      </w:r>
      <w:r w:rsidR="0096243E">
        <w:rPr>
          <w:lang w:eastAsia="cs-CZ"/>
        </w:rPr>
        <w:t>Na úrovni SO ORP třetí nejvyšší oproti pozici šesté na krajské úrovni, resp. páté na úrovni celorepublikové.</w:t>
      </w:r>
      <w:r w:rsidR="00711383">
        <w:rPr>
          <w:lang w:eastAsia="cs-CZ"/>
        </w:rPr>
        <w:t xml:space="preserve"> Tento nedostatek je umisťován na přední příčky ve všech relevantních </w:t>
      </w:r>
      <w:r w:rsidR="00711383">
        <w:rPr>
          <w:lang w:eastAsia="cs-CZ"/>
        </w:rPr>
        <w:lastRenderedPageBreak/>
        <w:t xml:space="preserve">tématech, tedy ve všech oblastech gramotnosti. </w:t>
      </w:r>
      <w:r w:rsidR="00711383" w:rsidRPr="00711383">
        <w:rPr>
          <w:b/>
          <w:lang w:eastAsia="cs-CZ"/>
        </w:rPr>
        <w:t xml:space="preserve">Školy velmi </w:t>
      </w:r>
      <w:proofErr w:type="spellStart"/>
      <w:r w:rsidR="00711383" w:rsidRPr="00711383">
        <w:rPr>
          <w:b/>
          <w:lang w:eastAsia="cs-CZ"/>
        </w:rPr>
        <w:t>lpějí</w:t>
      </w:r>
      <w:proofErr w:type="spellEnd"/>
      <w:r w:rsidR="00711383" w:rsidRPr="00711383">
        <w:rPr>
          <w:b/>
          <w:lang w:eastAsia="cs-CZ"/>
        </w:rPr>
        <w:t xml:space="preserve"> na potřebě porovnávat se</w:t>
      </w:r>
      <w:r w:rsidR="00711383">
        <w:rPr>
          <w:lang w:eastAsia="cs-CZ"/>
        </w:rPr>
        <w:t xml:space="preserve">. To však netřeba přisuzovat ani tak </w:t>
      </w:r>
      <w:r w:rsidR="00142A3B">
        <w:rPr>
          <w:lang w:eastAsia="cs-CZ"/>
        </w:rPr>
        <w:t>jejich zbytnělému egu</w:t>
      </w:r>
      <w:r w:rsidR="00711383">
        <w:rPr>
          <w:lang w:eastAsia="cs-CZ"/>
        </w:rPr>
        <w:t xml:space="preserve">, jako spíše </w:t>
      </w:r>
      <w:r w:rsidR="00711383" w:rsidRPr="00142A3B">
        <w:rPr>
          <w:b/>
          <w:lang w:eastAsia="cs-CZ"/>
        </w:rPr>
        <w:t xml:space="preserve">mechanizmu </w:t>
      </w:r>
      <w:r w:rsidR="00142A3B" w:rsidRPr="00142A3B">
        <w:rPr>
          <w:b/>
          <w:lang w:eastAsia="cs-CZ"/>
        </w:rPr>
        <w:t>školského systému</w:t>
      </w:r>
      <w:r w:rsidR="00711383" w:rsidRPr="00142A3B">
        <w:rPr>
          <w:b/>
          <w:lang w:eastAsia="cs-CZ"/>
        </w:rPr>
        <w:t>, který je právě na striktním porovnávání zásadně postavený</w:t>
      </w:r>
      <w:r w:rsidR="00711383">
        <w:rPr>
          <w:lang w:eastAsia="cs-CZ"/>
        </w:rPr>
        <w:t>.</w:t>
      </w:r>
    </w:p>
    <w:p w:rsidR="00B75AE7" w:rsidRPr="002856CF" w:rsidRDefault="00A34108" w:rsidP="00A34108">
      <w:pPr>
        <w:pStyle w:val="Bezmezer"/>
        <w:rPr>
          <w:u w:val="single"/>
        </w:rPr>
      </w:pPr>
      <w:r>
        <w:rPr>
          <w:lang w:eastAsia="cs-CZ"/>
        </w:rPr>
        <w:t xml:space="preserve">I v rámci </w:t>
      </w:r>
      <w:r w:rsidR="00B54899">
        <w:rPr>
          <w:lang w:eastAsia="cs-CZ"/>
        </w:rPr>
        <w:t>oblasti</w:t>
      </w:r>
      <w:r>
        <w:rPr>
          <w:lang w:eastAsia="cs-CZ"/>
        </w:rPr>
        <w:t xml:space="preserve"> matematic</w:t>
      </w:r>
      <w:r w:rsidRPr="00A34108">
        <w:rPr>
          <w:lang w:eastAsia="cs-CZ"/>
        </w:rPr>
        <w:t>ké gramotnosti ještě zmiňme výrazný moment nezájmu ze strany žáků a rodičů (</w:t>
      </w:r>
      <w:r w:rsidRPr="00A34108">
        <w:rPr>
          <w:rFonts w:eastAsia="Times New Roman"/>
          <w:lang w:eastAsia="cs-CZ"/>
        </w:rPr>
        <w:t>52,6</w:t>
      </w:r>
      <w:r w:rsidR="00B75AE7" w:rsidRPr="00A34108">
        <w:rPr>
          <w:rFonts w:eastAsia="Times New Roman"/>
          <w:lang w:eastAsia="cs-CZ"/>
        </w:rPr>
        <w:t xml:space="preserve"> %)</w:t>
      </w:r>
      <w:r w:rsidRPr="00A34108">
        <w:rPr>
          <w:rFonts w:eastAsia="Times New Roman"/>
          <w:lang w:eastAsia="cs-CZ"/>
        </w:rPr>
        <w:t xml:space="preserve"> a zopakujme akutní potřebu kultivované</w:t>
      </w:r>
      <w:r w:rsidRPr="00A34108">
        <w:rPr>
          <w:lang w:eastAsia="cs-CZ"/>
        </w:rPr>
        <w:t xml:space="preserve"> </w:t>
      </w:r>
      <w:r w:rsidR="00B75AE7" w:rsidRPr="00A34108">
        <w:rPr>
          <w:lang w:eastAsia="cs-CZ"/>
        </w:rPr>
        <w:t xml:space="preserve">diskuze </w:t>
      </w:r>
      <w:r w:rsidRPr="00A34108">
        <w:rPr>
          <w:lang w:eastAsia="cs-CZ"/>
        </w:rPr>
        <w:t xml:space="preserve">nad tématem </w:t>
      </w:r>
      <w:r w:rsidRPr="00A34108">
        <w:rPr>
          <w:b/>
          <w:lang w:eastAsia="cs-CZ"/>
        </w:rPr>
        <w:t>zpětné</w:t>
      </w:r>
      <w:r w:rsidR="00B75AE7" w:rsidRPr="00A34108">
        <w:rPr>
          <w:b/>
          <w:lang w:eastAsia="cs-CZ"/>
        </w:rPr>
        <w:t xml:space="preserve"> vazb</w:t>
      </w:r>
      <w:r w:rsidRPr="00A34108">
        <w:rPr>
          <w:b/>
          <w:lang w:eastAsia="cs-CZ"/>
        </w:rPr>
        <w:t>y</w:t>
      </w:r>
      <w:r w:rsidR="00B75AE7" w:rsidRPr="00A34108">
        <w:rPr>
          <w:b/>
          <w:lang w:eastAsia="cs-CZ"/>
        </w:rPr>
        <w:t xml:space="preserve"> </w:t>
      </w:r>
      <w:r w:rsidRPr="00A34108">
        <w:rPr>
          <w:b/>
          <w:lang w:eastAsia="cs-CZ"/>
        </w:rPr>
        <w:t xml:space="preserve">vůči škole </w:t>
      </w:r>
      <w:r w:rsidR="00B75AE7" w:rsidRPr="00A34108">
        <w:rPr>
          <w:b/>
          <w:lang w:eastAsia="cs-CZ"/>
        </w:rPr>
        <w:t>ze strany žáků, potažmo rodičů</w:t>
      </w:r>
      <w:r w:rsidRPr="00A34108">
        <w:rPr>
          <w:b/>
          <w:lang w:eastAsia="cs-CZ"/>
        </w:rPr>
        <w:t>, ale i dalších zainteresovaných institucí</w:t>
      </w:r>
      <w:r w:rsidR="00B75AE7" w:rsidRPr="00A34108">
        <w:rPr>
          <w:lang w:eastAsia="cs-CZ"/>
        </w:rPr>
        <w:t>.</w:t>
      </w:r>
      <w:r w:rsidR="00D70D92">
        <w:rPr>
          <w:lang w:eastAsia="cs-CZ"/>
        </w:rPr>
        <w:t xml:space="preserve"> A to jak v horizontální (v rámci obce, města, regionu), tak i ve vertikální (mezi „nadřízenými“ a „podřízenými“ ins</w:t>
      </w:r>
      <w:r w:rsidR="00D70D92" w:rsidRPr="002856CF">
        <w:rPr>
          <w:lang w:eastAsia="cs-CZ"/>
        </w:rPr>
        <w:t>titucemi) rovině.</w:t>
      </w:r>
    </w:p>
    <w:p w:rsidR="009D1458" w:rsidRPr="002856CF" w:rsidRDefault="009D1458" w:rsidP="009D1458">
      <w:pPr>
        <w:pStyle w:val="Bezmezer"/>
        <w:rPr>
          <w:u w:val="single"/>
        </w:rPr>
      </w:pPr>
      <w:r w:rsidRPr="002856CF">
        <w:rPr>
          <w:u w:val="single"/>
        </w:rPr>
        <w:t>Rozvoj jazykové gramotnosti</w:t>
      </w:r>
    </w:p>
    <w:p w:rsidR="00DB57E3" w:rsidRPr="00F873CE" w:rsidRDefault="000E00C7" w:rsidP="00DB57E3">
      <w:pPr>
        <w:pStyle w:val="Bezmezer"/>
      </w:pPr>
      <w:r w:rsidRPr="006C28DF">
        <w:t xml:space="preserve">Rozvoj jazykové gramotnosti byl hodnocen na příkladu </w:t>
      </w:r>
      <w:r w:rsidR="00FC66E0" w:rsidRPr="006C28DF">
        <w:t>sed</w:t>
      </w:r>
      <w:r w:rsidR="00060837" w:rsidRPr="006C28DF">
        <w:t>mnáct</w:t>
      </w:r>
      <w:r w:rsidRPr="006C28DF">
        <w:t>i</w:t>
      </w:r>
      <w:r w:rsidR="00DB57E3" w:rsidRPr="006C28DF">
        <w:t xml:space="preserve"> modelových situací</w:t>
      </w:r>
      <w:r w:rsidRPr="006C28DF">
        <w:t>.</w:t>
      </w:r>
      <w:r w:rsidR="00DB57E3" w:rsidRPr="006C28DF">
        <w:t xml:space="preserve"> </w:t>
      </w:r>
      <w:r w:rsidR="00FC66E0" w:rsidRPr="006C28DF">
        <w:t xml:space="preserve">Oproti předchozím </w:t>
      </w:r>
      <w:r w:rsidR="00B54899">
        <w:t>oblastem</w:t>
      </w:r>
      <w:r w:rsidR="00FC66E0" w:rsidRPr="006C28DF">
        <w:t xml:space="preserve"> se zde setkáváme s </w:t>
      </w:r>
      <w:r w:rsidR="00FC66E0" w:rsidRPr="00620DA1">
        <w:rPr>
          <w:b/>
        </w:rPr>
        <w:t>dosud</w:t>
      </w:r>
      <w:r w:rsidR="00FC66E0" w:rsidRPr="006C28DF">
        <w:rPr>
          <w:b/>
        </w:rPr>
        <w:t xml:space="preserve"> nejmenším rozdílem</w:t>
      </w:r>
      <w:r w:rsidR="006C28DF" w:rsidRPr="006C28DF">
        <w:rPr>
          <w:b/>
        </w:rPr>
        <w:t xml:space="preserve"> mezi preferencí prvního a druhého plánovacího období</w:t>
      </w:r>
      <w:r w:rsidR="006C28DF" w:rsidRPr="006C28DF">
        <w:t xml:space="preserve"> (63 % versus 8%). </w:t>
      </w:r>
      <w:r w:rsidR="00EA780A">
        <w:t>Lze tak usuzovat na relativně nejnižší prioritu jazykové gramotnosti</w:t>
      </w:r>
      <w:r w:rsidR="00904E27">
        <w:t xml:space="preserve"> v rámci analyzovaných </w:t>
      </w:r>
      <w:r w:rsidR="00642D76">
        <w:t xml:space="preserve">základních </w:t>
      </w:r>
      <w:r w:rsidR="00904E27">
        <w:t xml:space="preserve">vzdělávacích okruhů. </w:t>
      </w:r>
    </w:p>
    <w:p w:rsidR="00DB57E3" w:rsidRPr="00AA126C" w:rsidRDefault="00642D76" w:rsidP="00DB57E3">
      <w:pPr>
        <w:pStyle w:val="Bezmezer"/>
      </w:pPr>
      <w:r w:rsidRPr="00F873CE">
        <w:t>Mezi</w:t>
      </w:r>
      <w:r w:rsidR="00DB57E3" w:rsidRPr="00F873CE">
        <w:t xml:space="preserve"> nejčastěji zmiňovaná témata, která by školy v letech 2016 až 2018 rády zlepšily, </w:t>
      </w:r>
      <w:r w:rsidRPr="00F873CE">
        <w:t>se zařadil</w:t>
      </w:r>
      <w:r w:rsidR="00F873CE" w:rsidRPr="00F873CE">
        <w:t xml:space="preserve">a obě týkající se rozvoje kantorů (78,9 %). Dá se tedy usuzovat, že </w:t>
      </w:r>
      <w:r w:rsidR="00F873CE" w:rsidRPr="00185EEC">
        <w:rPr>
          <w:b/>
        </w:rPr>
        <w:t>znalost cizího jazyka mezi učitelským sborem obecně je na nízké úrovni</w:t>
      </w:r>
      <w:r w:rsidR="00F873CE" w:rsidRPr="00F873CE">
        <w:t>.</w:t>
      </w:r>
      <w:r w:rsidR="00185EEC">
        <w:t xml:space="preserve"> Společný jmenovatel zbylých nejfrekventovanějších</w:t>
      </w:r>
      <w:r w:rsidR="00E1367C">
        <w:t xml:space="preserve"> témat je již dobře známá </w:t>
      </w:r>
      <w:r w:rsidR="00E1367C" w:rsidRPr="00E1367C">
        <w:rPr>
          <w:b/>
        </w:rPr>
        <w:t>absence kvalitnějšího zázemí</w:t>
      </w:r>
      <w:r w:rsidR="00E64E76">
        <w:t>:</w:t>
      </w:r>
    </w:p>
    <w:p w:rsidR="00DB57E3" w:rsidRPr="00F36152" w:rsidRDefault="00AA126C" w:rsidP="00DB57E3">
      <w:pPr>
        <w:pStyle w:val="Nzev"/>
        <w:numPr>
          <w:ilvl w:val="0"/>
          <w:numId w:val="32"/>
        </w:numPr>
        <w:rPr>
          <w:rFonts w:eastAsia="Times New Roman"/>
          <w:lang w:eastAsia="cs-CZ"/>
        </w:rPr>
      </w:pPr>
      <w:r w:rsidRPr="00AA126C">
        <w:t xml:space="preserve">Ve škole existují pravidelné jazykové kroužky /doučování/ mimoškolní </w:t>
      </w:r>
      <w:r w:rsidRPr="00F36152">
        <w:t>aktivity</w:t>
      </w:r>
      <w:r w:rsidR="00DB57E3" w:rsidRPr="00F36152">
        <w:rPr>
          <w:rFonts w:eastAsia="Times New Roman"/>
          <w:lang w:eastAsia="cs-CZ"/>
        </w:rPr>
        <w:t xml:space="preserve">. </w:t>
      </w:r>
      <w:r w:rsidRPr="00F36152">
        <w:rPr>
          <w:rFonts w:eastAsia="Times New Roman"/>
          <w:lang w:eastAsia="cs-CZ"/>
        </w:rPr>
        <w:t>(84,2</w:t>
      </w:r>
      <w:r w:rsidR="00DB57E3" w:rsidRPr="00F36152">
        <w:rPr>
          <w:rFonts w:eastAsia="Times New Roman"/>
          <w:lang w:eastAsia="cs-CZ"/>
        </w:rPr>
        <w:t xml:space="preserve"> %)</w:t>
      </w:r>
    </w:p>
    <w:p w:rsidR="00DB57E3" w:rsidRPr="00970424" w:rsidRDefault="00F36152" w:rsidP="00DB57E3">
      <w:pPr>
        <w:pStyle w:val="Nzev"/>
        <w:numPr>
          <w:ilvl w:val="0"/>
          <w:numId w:val="32"/>
        </w:numPr>
        <w:rPr>
          <w:rFonts w:eastAsia="Times New Roman"/>
          <w:lang w:eastAsia="cs-CZ"/>
        </w:rPr>
      </w:pPr>
      <w:r w:rsidRPr="00F36152">
        <w:t xml:space="preserve">Ve škole existuje jazykově podnětné prostředí (koutky, </w:t>
      </w:r>
      <w:r w:rsidRPr="00970424">
        <w:t>nástěnky apod.)</w:t>
      </w:r>
      <w:r w:rsidR="00DB57E3" w:rsidRPr="00970424">
        <w:t>.</w:t>
      </w:r>
      <w:r w:rsidR="00DB57E3" w:rsidRPr="00970424">
        <w:rPr>
          <w:rFonts w:eastAsia="Times New Roman"/>
          <w:lang w:eastAsia="cs-CZ"/>
        </w:rPr>
        <w:t xml:space="preserve"> (</w:t>
      </w:r>
      <w:r w:rsidRPr="00970424">
        <w:rPr>
          <w:rFonts w:eastAsia="Times New Roman"/>
          <w:lang w:eastAsia="cs-CZ"/>
        </w:rPr>
        <w:t>84</w:t>
      </w:r>
      <w:r w:rsidR="00DB57E3" w:rsidRPr="00970424">
        <w:rPr>
          <w:rFonts w:eastAsia="Times New Roman"/>
          <w:lang w:eastAsia="cs-CZ"/>
        </w:rPr>
        <w:t>,</w:t>
      </w:r>
      <w:r w:rsidRPr="00970424">
        <w:rPr>
          <w:rFonts w:eastAsia="Times New Roman"/>
          <w:lang w:eastAsia="cs-CZ"/>
        </w:rPr>
        <w:t>2</w:t>
      </w:r>
      <w:r w:rsidR="00DB57E3" w:rsidRPr="00970424">
        <w:rPr>
          <w:rFonts w:eastAsia="Times New Roman"/>
          <w:lang w:eastAsia="cs-CZ"/>
        </w:rPr>
        <w:t xml:space="preserve"> %)</w:t>
      </w:r>
    </w:p>
    <w:p w:rsidR="00DB57E3" w:rsidRPr="00970424" w:rsidRDefault="00970424" w:rsidP="00DB57E3">
      <w:pPr>
        <w:pStyle w:val="Nzev"/>
        <w:numPr>
          <w:ilvl w:val="0"/>
          <w:numId w:val="32"/>
        </w:numPr>
        <w:rPr>
          <w:rFonts w:eastAsia="Times New Roman"/>
          <w:lang w:eastAsia="cs-CZ"/>
        </w:rPr>
      </w:pPr>
      <w:r w:rsidRPr="00970424">
        <w:t>Učitelé 1. i 2. stupně, učitelé jazyků i ostatních předmětů rozvíjejí své znalosti v oblasti jazykových znalostí a využívají je ve výuce (kurzy dalšího vzdělávání, studium literatury aj.)</w:t>
      </w:r>
      <w:r w:rsidR="00DB57E3" w:rsidRPr="00970424">
        <w:t>.</w:t>
      </w:r>
      <w:r w:rsidR="00DB57E3" w:rsidRPr="00970424">
        <w:rPr>
          <w:rFonts w:eastAsia="Times New Roman"/>
          <w:lang w:eastAsia="cs-CZ"/>
        </w:rPr>
        <w:t xml:space="preserve"> (</w:t>
      </w:r>
      <w:r w:rsidRPr="00970424">
        <w:rPr>
          <w:rFonts w:eastAsia="Times New Roman"/>
          <w:lang w:eastAsia="cs-CZ"/>
        </w:rPr>
        <w:t>78,9</w:t>
      </w:r>
      <w:r w:rsidR="00DB57E3" w:rsidRPr="00970424">
        <w:rPr>
          <w:rFonts w:eastAsia="Times New Roman"/>
          <w:lang w:eastAsia="cs-CZ"/>
        </w:rPr>
        <w:t xml:space="preserve"> %)</w:t>
      </w:r>
    </w:p>
    <w:p w:rsidR="00DB57E3" w:rsidRPr="00970424" w:rsidRDefault="00970424" w:rsidP="00DB57E3">
      <w:pPr>
        <w:pStyle w:val="Nzev"/>
        <w:numPr>
          <w:ilvl w:val="0"/>
          <w:numId w:val="32"/>
        </w:numPr>
        <w:rPr>
          <w:rFonts w:eastAsia="Times New Roman"/>
          <w:lang w:eastAsia="cs-CZ"/>
        </w:rPr>
      </w:pPr>
      <w:r w:rsidRPr="00970424">
        <w:t>Učitelé 1. i 2. stupně využívají poznatky v praxi a sdílejí dobrou praxi v oblasti jazykové gramotnosti mezi sebou i s učiteli z jiných škol</w:t>
      </w:r>
      <w:r w:rsidR="00DB57E3" w:rsidRPr="00970424">
        <w:rPr>
          <w:rFonts w:eastAsia="Times New Roman"/>
          <w:lang w:eastAsia="cs-CZ"/>
        </w:rPr>
        <w:t xml:space="preserve"> (</w:t>
      </w:r>
      <w:r w:rsidRPr="00970424">
        <w:rPr>
          <w:rFonts w:eastAsia="Times New Roman"/>
          <w:lang w:eastAsia="cs-CZ"/>
        </w:rPr>
        <w:t xml:space="preserve">78,9 </w:t>
      </w:r>
      <w:r w:rsidR="00DB57E3" w:rsidRPr="00970424">
        <w:rPr>
          <w:rFonts w:eastAsia="Times New Roman"/>
          <w:lang w:eastAsia="cs-CZ"/>
        </w:rPr>
        <w:t>%)</w:t>
      </w:r>
    </w:p>
    <w:p w:rsidR="00DB57E3" w:rsidRPr="00970424" w:rsidRDefault="00970424" w:rsidP="00DB57E3">
      <w:pPr>
        <w:pStyle w:val="Nzev"/>
        <w:numPr>
          <w:ilvl w:val="0"/>
          <w:numId w:val="32"/>
        </w:numPr>
        <w:rPr>
          <w:rFonts w:eastAsia="Times New Roman"/>
          <w:lang w:eastAsia="cs-CZ"/>
        </w:rPr>
      </w:pPr>
      <w:r w:rsidRPr="00970424">
        <w:t>Škola disponuje dostatečným technickým a materiálním zabezpečením pro výuku cizích jazyků</w:t>
      </w:r>
      <w:r w:rsidR="00DB57E3" w:rsidRPr="00970424">
        <w:t>.</w:t>
      </w:r>
      <w:r w:rsidR="00DB57E3" w:rsidRPr="00970424">
        <w:rPr>
          <w:rFonts w:eastAsia="Times New Roman"/>
          <w:lang w:eastAsia="cs-CZ"/>
        </w:rPr>
        <w:t xml:space="preserve"> (</w:t>
      </w:r>
      <w:r w:rsidRPr="00970424">
        <w:rPr>
          <w:rFonts w:eastAsia="Times New Roman"/>
          <w:lang w:eastAsia="cs-CZ"/>
        </w:rPr>
        <w:t xml:space="preserve">78,9 </w:t>
      </w:r>
      <w:r w:rsidR="00DB57E3" w:rsidRPr="00970424">
        <w:rPr>
          <w:rFonts w:eastAsia="Times New Roman"/>
          <w:lang w:eastAsia="cs-CZ"/>
        </w:rPr>
        <w:t>%)</w:t>
      </w:r>
    </w:p>
    <w:p w:rsidR="00DB57E3" w:rsidRPr="00970424" w:rsidRDefault="00970424" w:rsidP="00DB57E3">
      <w:pPr>
        <w:pStyle w:val="Nzev"/>
        <w:numPr>
          <w:ilvl w:val="0"/>
          <w:numId w:val="32"/>
        </w:numPr>
        <w:rPr>
          <w:rFonts w:eastAsia="Times New Roman"/>
          <w:lang w:eastAsia="cs-CZ"/>
        </w:rPr>
      </w:pPr>
      <w:r w:rsidRPr="00970424">
        <w:t xml:space="preserve">Ve škole jsou využívána interaktivní média, </w:t>
      </w:r>
      <w:proofErr w:type="spellStart"/>
      <w:r w:rsidRPr="00970424">
        <w:t>inf</w:t>
      </w:r>
      <w:proofErr w:type="spellEnd"/>
      <w:r w:rsidRPr="00970424">
        <w:t xml:space="preserve">. a kom. </w:t>
      </w:r>
      <w:proofErr w:type="gramStart"/>
      <w:r w:rsidRPr="00970424">
        <w:t>technologie</w:t>
      </w:r>
      <w:proofErr w:type="gramEnd"/>
      <w:r w:rsidRPr="00970424">
        <w:t xml:space="preserve"> v oblasti rozvoje jazykové gramotnosti</w:t>
      </w:r>
      <w:r w:rsidR="00DB57E3" w:rsidRPr="00970424">
        <w:rPr>
          <w:rFonts w:eastAsia="Times New Roman"/>
          <w:lang w:eastAsia="cs-CZ"/>
        </w:rPr>
        <w:t xml:space="preserve"> (</w:t>
      </w:r>
      <w:r w:rsidRPr="00970424">
        <w:rPr>
          <w:rFonts w:eastAsia="Times New Roman"/>
          <w:lang w:eastAsia="cs-CZ"/>
        </w:rPr>
        <w:t xml:space="preserve">78,9 </w:t>
      </w:r>
      <w:r w:rsidR="00DB57E3" w:rsidRPr="00970424">
        <w:rPr>
          <w:rFonts w:eastAsia="Times New Roman"/>
          <w:lang w:eastAsia="cs-CZ"/>
        </w:rPr>
        <w:t>%)</w:t>
      </w:r>
    </w:p>
    <w:p w:rsidR="00DB57E3" w:rsidRPr="00970424" w:rsidRDefault="00970424" w:rsidP="00DB57E3">
      <w:pPr>
        <w:pStyle w:val="Nzev"/>
        <w:numPr>
          <w:ilvl w:val="0"/>
          <w:numId w:val="32"/>
        </w:numPr>
        <w:rPr>
          <w:rFonts w:eastAsia="Times New Roman"/>
          <w:lang w:eastAsia="cs-CZ"/>
        </w:rPr>
      </w:pPr>
      <w:r w:rsidRPr="00970424">
        <w:t>Škola pravidelně nakupuje aktuální učebnice, cizojazyčnou literaturu, multimédia pro rozvoj jazykové gramotnosti.</w:t>
      </w:r>
      <w:r w:rsidR="00DB57E3" w:rsidRPr="00970424">
        <w:rPr>
          <w:rFonts w:eastAsia="Times New Roman"/>
          <w:lang w:eastAsia="cs-CZ"/>
        </w:rPr>
        <w:t xml:space="preserve"> (</w:t>
      </w:r>
      <w:r w:rsidRPr="00970424">
        <w:rPr>
          <w:rFonts w:eastAsia="Times New Roman"/>
          <w:lang w:eastAsia="cs-CZ"/>
        </w:rPr>
        <w:t xml:space="preserve">78,9 </w:t>
      </w:r>
      <w:r w:rsidR="00DB57E3" w:rsidRPr="00970424">
        <w:rPr>
          <w:rFonts w:eastAsia="Times New Roman"/>
          <w:lang w:eastAsia="cs-CZ"/>
        </w:rPr>
        <w:t>%)</w:t>
      </w:r>
    </w:p>
    <w:p w:rsidR="00523548" w:rsidRDefault="00523548" w:rsidP="00DB57E3">
      <w:pPr>
        <w:pStyle w:val="Bezmezer"/>
        <w:rPr>
          <w:lang w:eastAsia="cs-CZ"/>
        </w:rPr>
      </w:pPr>
      <w:r w:rsidRPr="00523548">
        <w:rPr>
          <w:lang w:eastAsia="cs-CZ"/>
        </w:rPr>
        <w:t xml:space="preserve">Suverénně </w:t>
      </w:r>
      <w:r w:rsidRPr="000F2485">
        <w:rPr>
          <w:b/>
          <w:lang w:eastAsia="cs-CZ"/>
        </w:rPr>
        <w:t xml:space="preserve">nejnižší </w:t>
      </w:r>
      <w:r w:rsidR="00DB57E3" w:rsidRPr="000F2485">
        <w:rPr>
          <w:b/>
          <w:lang w:eastAsia="cs-CZ"/>
        </w:rPr>
        <w:t>zájem</w:t>
      </w:r>
      <w:r w:rsidRPr="00523548">
        <w:rPr>
          <w:lang w:eastAsia="cs-CZ"/>
        </w:rPr>
        <w:t xml:space="preserve"> škol a to </w:t>
      </w:r>
      <w:r w:rsidRPr="000F2485">
        <w:rPr>
          <w:b/>
          <w:lang w:eastAsia="cs-CZ"/>
        </w:rPr>
        <w:t>v rámci celého dotazníkového šetření</w:t>
      </w:r>
      <w:r w:rsidR="00DB57E3" w:rsidRPr="00523548">
        <w:rPr>
          <w:lang w:eastAsia="cs-CZ"/>
        </w:rPr>
        <w:t xml:space="preserve"> je o</w:t>
      </w:r>
      <w:r w:rsidRPr="00523548">
        <w:rPr>
          <w:lang w:eastAsia="cs-CZ"/>
        </w:rPr>
        <w:t xml:space="preserve"> </w:t>
      </w:r>
      <w:r w:rsidRPr="000F2485">
        <w:rPr>
          <w:b/>
          <w:lang w:eastAsia="cs-CZ"/>
        </w:rPr>
        <w:t>rozvoj jazykové gramotnosti v rámci školních vzdělávacích plánů</w:t>
      </w:r>
      <w:r w:rsidR="002935CA">
        <w:rPr>
          <w:lang w:eastAsia="cs-CZ"/>
        </w:rPr>
        <w:t xml:space="preserve"> (0 %!!!)</w:t>
      </w:r>
      <w:r w:rsidR="00A2523B">
        <w:rPr>
          <w:lang w:eastAsia="cs-CZ"/>
        </w:rPr>
        <w:t xml:space="preserve">. </w:t>
      </w:r>
      <w:r w:rsidR="002935CA">
        <w:rPr>
          <w:lang w:eastAsia="cs-CZ"/>
        </w:rPr>
        <w:t>Pakli</w:t>
      </w:r>
      <w:r w:rsidR="00C53AE6">
        <w:rPr>
          <w:lang w:eastAsia="cs-CZ"/>
        </w:rPr>
        <w:t>že pomineme možnost chyby při zp</w:t>
      </w:r>
      <w:r w:rsidR="002935CA">
        <w:rPr>
          <w:lang w:eastAsia="cs-CZ"/>
        </w:rPr>
        <w:t>racování,</w:t>
      </w:r>
      <w:r w:rsidR="00C53AE6">
        <w:rPr>
          <w:lang w:eastAsia="cs-CZ"/>
        </w:rPr>
        <w:t xml:space="preserve"> můžeme uvažovat, že školy mají </w:t>
      </w:r>
      <w:r w:rsidR="00C53AE6" w:rsidRPr="000F2485">
        <w:rPr>
          <w:b/>
          <w:lang w:eastAsia="cs-CZ"/>
        </w:rPr>
        <w:t>pocit saturace</w:t>
      </w:r>
      <w:r w:rsidR="00C53AE6">
        <w:rPr>
          <w:lang w:eastAsia="cs-CZ"/>
        </w:rPr>
        <w:t xml:space="preserve"> tohoto </w:t>
      </w:r>
      <w:r w:rsidR="00C53AE6" w:rsidRPr="000F2485">
        <w:rPr>
          <w:b/>
          <w:lang w:eastAsia="cs-CZ"/>
        </w:rPr>
        <w:t>tématu</w:t>
      </w:r>
      <w:r w:rsidR="00C53AE6">
        <w:rPr>
          <w:lang w:eastAsia="cs-CZ"/>
        </w:rPr>
        <w:t xml:space="preserve"> a to z důvodu povinných školních vzdělávacích programů v mezích rámcového vzdělávacího programu, který je pro školy povinný </w:t>
      </w:r>
      <w:r w:rsidR="009C2F2A">
        <w:rPr>
          <w:lang w:eastAsia="cs-CZ"/>
        </w:rPr>
        <w:t xml:space="preserve">na základě školského zákona. Této variantě napovídá i </w:t>
      </w:r>
      <w:r w:rsidR="003642E1">
        <w:rPr>
          <w:lang w:eastAsia="cs-CZ"/>
        </w:rPr>
        <w:t>číslo</w:t>
      </w:r>
      <w:r w:rsidR="009C2F2A">
        <w:rPr>
          <w:lang w:eastAsia="cs-CZ"/>
        </w:rPr>
        <w:t xml:space="preserve"> 2,89</w:t>
      </w:r>
      <w:r w:rsidR="003642E1">
        <w:rPr>
          <w:lang w:eastAsia="cs-CZ"/>
        </w:rPr>
        <w:t xml:space="preserve"> hodnotící aktuální stav a</w:t>
      </w:r>
      <w:r w:rsidR="009C2F2A">
        <w:rPr>
          <w:lang w:eastAsia="cs-CZ"/>
        </w:rPr>
        <w:t xml:space="preserve"> značící téměř realizovanou oblast.</w:t>
      </w:r>
    </w:p>
    <w:p w:rsidR="00DB57E3" w:rsidRPr="00060837" w:rsidRDefault="00DB57E3" w:rsidP="002935CA">
      <w:pPr>
        <w:pStyle w:val="Bezmezer"/>
      </w:pPr>
      <w:r w:rsidRPr="00060837">
        <w:t xml:space="preserve">Tabulka: </w:t>
      </w:r>
      <w:r w:rsidR="00060837" w:rsidRPr="00060837">
        <w:t>Jazyková</w:t>
      </w:r>
      <w:r w:rsidRPr="00060837">
        <w:t xml:space="preserve"> gramotnost</w:t>
      </w:r>
    </w:p>
    <w:tbl>
      <w:tblPr>
        <w:tblW w:w="9089" w:type="dxa"/>
        <w:tblInd w:w="53" w:type="dxa"/>
        <w:tblLayout w:type="fixed"/>
        <w:tblCellMar>
          <w:left w:w="70" w:type="dxa"/>
          <w:right w:w="70" w:type="dxa"/>
        </w:tblCellMar>
        <w:tblLook w:val="04A0"/>
      </w:tblPr>
      <w:tblGrid>
        <w:gridCol w:w="4979"/>
        <w:gridCol w:w="992"/>
        <w:gridCol w:w="992"/>
        <w:gridCol w:w="992"/>
        <w:gridCol w:w="567"/>
        <w:gridCol w:w="567"/>
      </w:tblGrid>
      <w:tr w:rsidR="00AB0721" w:rsidRPr="00AB0721" w:rsidTr="00DF4192">
        <w:trPr>
          <w:trHeight w:val="227"/>
        </w:trPr>
        <w:tc>
          <w:tcPr>
            <w:tcW w:w="4979" w:type="dxa"/>
            <w:vMerge w:val="restart"/>
            <w:tcBorders>
              <w:bottom w:val="single" w:sz="4" w:space="0" w:color="000000"/>
              <w:right w:val="single" w:sz="4" w:space="0" w:color="auto"/>
            </w:tcBorders>
            <w:shd w:val="clear" w:color="000000" w:fill="FAC090"/>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 </w:t>
            </w:r>
          </w:p>
        </w:tc>
        <w:tc>
          <w:tcPr>
            <w:tcW w:w="1984" w:type="dxa"/>
            <w:gridSpan w:val="2"/>
            <w:tcBorders>
              <w:left w:val="nil"/>
              <w:bottom w:val="nil"/>
              <w:right w:val="single" w:sz="4" w:space="0" w:color="000000"/>
            </w:tcBorders>
            <w:shd w:val="clear" w:color="000000" w:fill="FAC090"/>
            <w:vAlign w:val="bottom"/>
            <w:hideMark/>
          </w:tcPr>
          <w:p w:rsidR="00AB0721" w:rsidRPr="00AB0721" w:rsidRDefault="00AB0721" w:rsidP="00B554CA">
            <w:pPr>
              <w:pStyle w:val="Nzev"/>
              <w:jc w:val="center"/>
              <w:rPr>
                <w:rFonts w:eastAsia="Times New Roman"/>
                <w:lang w:eastAsia="cs-CZ"/>
              </w:rPr>
            </w:pPr>
            <w:r w:rsidRPr="00AB0721">
              <w:rPr>
                <w:rFonts w:eastAsia="Times New Roman"/>
                <w:lang w:eastAsia="cs-CZ"/>
              </w:rPr>
              <w:t>Podíl ZŠ v rámci SO ORP plánujících zlepšení</w:t>
            </w:r>
          </w:p>
        </w:tc>
        <w:tc>
          <w:tcPr>
            <w:tcW w:w="2126" w:type="dxa"/>
            <w:gridSpan w:val="3"/>
            <w:tcBorders>
              <w:left w:val="nil"/>
              <w:bottom w:val="nil"/>
            </w:tcBorders>
            <w:shd w:val="clear" w:color="000000" w:fill="FAC090"/>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Průměrné hodnocení aktuálního stavu</w:t>
            </w:r>
          </w:p>
        </w:tc>
      </w:tr>
      <w:tr w:rsidR="00AB0721" w:rsidRPr="00AB0721" w:rsidTr="00DF4192">
        <w:trPr>
          <w:trHeight w:val="227"/>
        </w:trPr>
        <w:tc>
          <w:tcPr>
            <w:tcW w:w="4979" w:type="dxa"/>
            <w:vMerge/>
            <w:tcBorders>
              <w:top w:val="single" w:sz="8" w:space="0" w:color="auto"/>
              <w:bottom w:val="single" w:sz="4" w:space="0" w:color="000000"/>
              <w:right w:val="single" w:sz="4" w:space="0" w:color="auto"/>
            </w:tcBorders>
            <w:vAlign w:val="center"/>
            <w:hideMark/>
          </w:tcPr>
          <w:p w:rsidR="00AB0721" w:rsidRPr="00AB0721" w:rsidRDefault="00AB0721" w:rsidP="00B554CA">
            <w:pPr>
              <w:pStyle w:val="Nzev"/>
              <w:jc w:val="left"/>
              <w:rPr>
                <w:rFonts w:eastAsia="Times New Roman"/>
                <w:lang w:eastAsia="cs-CZ"/>
              </w:rPr>
            </w:pP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2016–18</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2019–20</w:t>
            </w:r>
          </w:p>
        </w:tc>
        <w:tc>
          <w:tcPr>
            <w:tcW w:w="992" w:type="dxa"/>
            <w:tcBorders>
              <w:top w:val="single" w:sz="4" w:space="0" w:color="auto"/>
              <w:left w:val="nil"/>
              <w:bottom w:val="single" w:sz="4" w:space="0" w:color="auto"/>
              <w:right w:val="nil"/>
            </w:tcBorders>
            <w:shd w:val="clear" w:color="000000" w:fill="FAC090"/>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SO ORP</w:t>
            </w:r>
          </w:p>
        </w:tc>
        <w:tc>
          <w:tcPr>
            <w:tcW w:w="567" w:type="dxa"/>
            <w:tcBorders>
              <w:top w:val="single" w:sz="4" w:space="0" w:color="auto"/>
              <w:left w:val="single" w:sz="4" w:space="0" w:color="auto"/>
              <w:bottom w:val="single" w:sz="4" w:space="0" w:color="auto"/>
              <w:right w:val="single" w:sz="4" w:space="0" w:color="000000"/>
            </w:tcBorders>
            <w:shd w:val="clear" w:color="000000" w:fill="FAC090"/>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kraj</w:t>
            </w:r>
          </w:p>
        </w:tc>
        <w:tc>
          <w:tcPr>
            <w:tcW w:w="567" w:type="dxa"/>
            <w:tcBorders>
              <w:top w:val="single" w:sz="4" w:space="0" w:color="auto"/>
              <w:left w:val="nil"/>
              <w:bottom w:val="single" w:sz="4" w:space="0" w:color="auto"/>
            </w:tcBorders>
            <w:shd w:val="clear" w:color="000000" w:fill="FAC090"/>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ČR</w:t>
            </w:r>
          </w:p>
        </w:tc>
      </w:tr>
      <w:tr w:rsidR="00AB0721" w:rsidRPr="00AB0721" w:rsidTr="00DF4192">
        <w:trPr>
          <w:trHeight w:val="227"/>
        </w:trPr>
        <w:tc>
          <w:tcPr>
            <w:tcW w:w="4979" w:type="dxa"/>
            <w:tcBorders>
              <w:top w:val="nil"/>
              <w:bottom w:val="nil"/>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podporuje rozvoj jazykové gramotnos</w:t>
            </w:r>
            <w:r w:rsidR="0047790D">
              <w:rPr>
                <w:rFonts w:eastAsia="Times New Roman"/>
                <w:lang w:eastAsia="cs-CZ"/>
              </w:rPr>
              <w:t xml:space="preserve">ti v rámci školních </w:t>
            </w:r>
            <w:proofErr w:type="spellStart"/>
            <w:r w:rsidR="0047790D">
              <w:rPr>
                <w:rFonts w:eastAsia="Times New Roman"/>
                <w:lang w:eastAsia="cs-CZ"/>
              </w:rPr>
              <w:t>vzděláv</w:t>
            </w:r>
            <w:proofErr w:type="spellEnd"/>
            <w:r w:rsidR="0047790D">
              <w:rPr>
                <w:rFonts w:eastAsia="Times New Roman"/>
                <w:lang w:eastAsia="cs-CZ"/>
              </w:rPr>
              <w:t>.</w:t>
            </w:r>
            <w:r w:rsidRPr="00AB0721">
              <w:rPr>
                <w:rFonts w:eastAsia="Times New Roman"/>
                <w:lang w:eastAsia="cs-CZ"/>
              </w:rPr>
              <w:t xml:space="preserve"> plánů (má stanoveny konkrétní cíle)</w:t>
            </w:r>
          </w:p>
        </w:tc>
        <w:tc>
          <w:tcPr>
            <w:tcW w:w="992" w:type="dxa"/>
            <w:tcBorders>
              <w:top w:val="nil"/>
              <w:left w:val="nil"/>
              <w:bottom w:val="nil"/>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0,0%</w:t>
            </w:r>
          </w:p>
        </w:tc>
        <w:tc>
          <w:tcPr>
            <w:tcW w:w="992" w:type="dxa"/>
            <w:tcBorders>
              <w:top w:val="nil"/>
              <w:left w:val="nil"/>
              <w:bottom w:val="nil"/>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2,89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2,86</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2,88</w:t>
            </w:r>
          </w:p>
        </w:tc>
      </w:tr>
      <w:tr w:rsidR="00AB0721" w:rsidRPr="00AB0721" w:rsidTr="00DF4192">
        <w:trPr>
          <w:trHeight w:val="227"/>
        </w:trPr>
        <w:tc>
          <w:tcPr>
            <w:tcW w:w="4979" w:type="dxa"/>
            <w:tcBorders>
              <w:top w:val="single" w:sz="4" w:space="0" w:color="auto"/>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Učitelé 1. i 2. stupně, učitelé jazyků i ostatních předmětů rozvíjejí své znalosti v oblasti jazykových znalostí a využívají je ve výuce (kurzy dalšího vzdělávání, studium literatury aj.)</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78,9%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2,74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2,67</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2,70</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 xml:space="preserve">Učitelé 1. i 2. stupně využívají poznatky v praxi a sdílejí dobrou praxi v oblasti jazykové gramotnosti mezi sebou i s učiteli z jiných škol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2,42</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2,32</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2,35</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lastRenderedPageBreak/>
              <w:t>Rozvoj jazykové gramotnosti je obsahem výuky řady předmětů (např. uplatňování rozšiřujících autentických cizojazyčných materiálů – textů, nahrávek apod.)</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52,6%</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2,16</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2,03</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2,03</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u žáků rozvíjí chápání života v jiných kulturách a zprostředkovává jim </w:t>
            </w:r>
            <w:proofErr w:type="gramStart"/>
            <w:r w:rsidRPr="00AB0721">
              <w:rPr>
                <w:rFonts w:eastAsia="Times New Roman"/>
                <w:lang w:eastAsia="cs-CZ"/>
              </w:rPr>
              <w:t>ho</w:t>
            </w:r>
            <w:proofErr w:type="gramEnd"/>
            <w:r w:rsidRPr="00AB0721">
              <w:rPr>
                <w:rFonts w:eastAsia="Times New Roman"/>
                <w:lang w:eastAsia="cs-CZ"/>
              </w:rPr>
              <w:t xml:space="preserve"> (např. prostřednictvím filmů, fotografií, zahraničních pobytů apod.) </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2,84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2,63</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2,61</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podporuje jazykovou rozmanitost formou nabídky cizích jazyků</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52,6%</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2,32</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2,22</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2,25</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vytváří dostatek příležitostí k rozvoji jazykové gramotnosti (</w:t>
            </w:r>
            <w:proofErr w:type="spellStart"/>
            <w:r w:rsidRPr="00AB0721">
              <w:rPr>
                <w:rFonts w:eastAsia="Times New Roman"/>
                <w:lang w:eastAsia="cs-CZ"/>
              </w:rPr>
              <w:t>eTwinning</w:t>
            </w:r>
            <w:proofErr w:type="spellEnd"/>
            <w:r w:rsidRPr="00AB0721">
              <w:rPr>
                <w:rFonts w:eastAsia="Times New Roman"/>
                <w:lang w:eastAsia="cs-CZ"/>
              </w:rPr>
              <w:t>, výměnné pobyty apod.)</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57,9%</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1,95</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1,72</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1,75</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Ve škole se využívá knihovna (školní / místní) obsahující cizojazyčnou literaturu přístupná podle potřeb žáků</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52,6%</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15,8%</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1,89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1,56</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1,58</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Ve škole jsou využívány učebnice, cizojazyčná literatura, multimédia a další materiály pro rozvoj jazykové gramotnosti</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2,58</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2,53</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2,54</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 xml:space="preserve">Ve škole existují pravidelné jazykové kroužky /doučování/ mimoškolní aktivity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2,47</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2,34</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2,22</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Ve škole jsou realizovány akce pro žáky na podporu jazykové gramotnosti (např. interaktivní výstavy knih apod.)</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52,6%</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1,58</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1,52</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1,57</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informuje a spolupracuje v oblasti jazykové gramotnosti s rodiči (představení cizích jazyků, knihovny, kroužků, aktivit spojených s jazykovou gramotností např. projektové dny, dny otevřených dveří, vánoční trhy apod.)</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63,2%</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2,00</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1,96</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1,91</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Ve škole existuje jazykově podnětné prostředí (koutky, nástěnky apod.)</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2,42</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2,21</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2,25</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disponuje dostatečným technickým a materiálním zabezpečením pro výuku cizích jazyků</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5,3%</w:t>
            </w:r>
          </w:p>
        </w:tc>
        <w:tc>
          <w:tcPr>
            <w:tcW w:w="992" w:type="dxa"/>
            <w:tcBorders>
              <w:top w:val="single" w:sz="4" w:space="0" w:color="auto"/>
              <w:left w:val="nil"/>
              <w:bottom w:val="single" w:sz="4" w:space="0" w:color="auto"/>
              <w:right w:val="nil"/>
            </w:tcBorders>
            <w:shd w:val="clear" w:color="auto" w:fill="E5B8B7" w:themeFill="accent2" w:themeFillTint="66"/>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2,53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2,49</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2,53</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Ve škole jsou využívána interaktivní</w:t>
            </w:r>
            <w:r w:rsidR="00746FCB">
              <w:rPr>
                <w:rFonts w:eastAsia="Times New Roman"/>
                <w:lang w:eastAsia="cs-CZ"/>
              </w:rPr>
              <w:t xml:space="preserve"> média, </w:t>
            </w:r>
            <w:proofErr w:type="spellStart"/>
            <w:r w:rsidR="00746FCB">
              <w:rPr>
                <w:rFonts w:eastAsia="Times New Roman"/>
                <w:lang w:eastAsia="cs-CZ"/>
              </w:rPr>
              <w:t>inf</w:t>
            </w:r>
            <w:proofErr w:type="spellEnd"/>
            <w:r w:rsidR="00746FCB">
              <w:rPr>
                <w:rFonts w:eastAsia="Times New Roman"/>
                <w:lang w:eastAsia="cs-CZ"/>
              </w:rPr>
              <w:t>. a kom.</w:t>
            </w:r>
            <w:r w:rsidRPr="00AB0721">
              <w:rPr>
                <w:rFonts w:eastAsia="Times New Roman"/>
                <w:lang w:eastAsia="cs-CZ"/>
              </w:rPr>
              <w:t xml:space="preserve"> </w:t>
            </w:r>
            <w:proofErr w:type="gramStart"/>
            <w:r w:rsidRPr="00AB0721">
              <w:rPr>
                <w:rFonts w:eastAsia="Times New Roman"/>
                <w:lang w:eastAsia="cs-CZ"/>
              </w:rPr>
              <w:t>technologie</w:t>
            </w:r>
            <w:proofErr w:type="gramEnd"/>
            <w:r w:rsidRPr="00AB0721">
              <w:rPr>
                <w:rFonts w:eastAsia="Times New Roman"/>
                <w:lang w:eastAsia="cs-CZ"/>
              </w:rPr>
              <w:t xml:space="preserve"> v oblasti rozvoje jazykové gramotnosti</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2,84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2,73</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2,74</w:t>
            </w:r>
          </w:p>
        </w:tc>
      </w:tr>
      <w:tr w:rsidR="00AB0721" w:rsidRPr="00AB0721" w:rsidTr="00DF4192">
        <w:trPr>
          <w:trHeight w:val="227"/>
        </w:trPr>
        <w:tc>
          <w:tcPr>
            <w:tcW w:w="4979" w:type="dxa"/>
            <w:tcBorders>
              <w:top w:val="nil"/>
              <w:bottom w:val="single" w:sz="4" w:space="0" w:color="auto"/>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pravidelně nakupuje aktuální učebnice, cizojazyčnou literaturu, multimédia pro rozvoj jazykové gramotnosti</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2,79</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2,58</w:t>
            </w:r>
          </w:p>
        </w:tc>
        <w:tc>
          <w:tcPr>
            <w:tcW w:w="567" w:type="dxa"/>
            <w:tcBorders>
              <w:top w:val="single" w:sz="4" w:space="0" w:color="auto"/>
              <w:left w:val="nil"/>
              <w:bottom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2,61</w:t>
            </w:r>
          </w:p>
        </w:tc>
      </w:tr>
      <w:tr w:rsidR="00AB0721" w:rsidRPr="00AB0721" w:rsidTr="00DF4192">
        <w:trPr>
          <w:trHeight w:val="227"/>
        </w:trPr>
        <w:tc>
          <w:tcPr>
            <w:tcW w:w="4979" w:type="dxa"/>
            <w:tcBorders>
              <w:top w:val="nil"/>
              <w:right w:val="single" w:sz="4" w:space="0" w:color="auto"/>
            </w:tcBorders>
            <w:shd w:val="clear" w:color="auto" w:fill="auto"/>
            <w:vAlign w:val="center"/>
            <w:hideMark/>
          </w:tcPr>
          <w:p w:rsidR="00AB0721" w:rsidRPr="00AB0721" w:rsidRDefault="00AB0721" w:rsidP="00B554CA">
            <w:pPr>
              <w:pStyle w:val="Nzev"/>
              <w:jc w:val="left"/>
              <w:rPr>
                <w:rFonts w:eastAsia="Times New Roman"/>
                <w:lang w:eastAsia="cs-CZ"/>
              </w:rPr>
            </w:pPr>
            <w:r w:rsidRPr="00AB0721">
              <w:rPr>
                <w:rFonts w:eastAsia="Times New Roman"/>
                <w:lang w:eastAsia="cs-CZ"/>
              </w:rPr>
              <w:t>Škola spolupracuje s rodilým mluvčím</w:t>
            </w:r>
          </w:p>
        </w:tc>
        <w:tc>
          <w:tcPr>
            <w:tcW w:w="992" w:type="dxa"/>
            <w:tcBorders>
              <w:top w:val="nil"/>
              <w:left w:val="nil"/>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42,1%</w:t>
            </w:r>
          </w:p>
        </w:tc>
        <w:tc>
          <w:tcPr>
            <w:tcW w:w="992" w:type="dxa"/>
            <w:tcBorders>
              <w:top w:val="nil"/>
              <w:left w:val="nil"/>
              <w:right w:val="single" w:sz="4" w:space="0" w:color="auto"/>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21,1%</w:t>
            </w:r>
          </w:p>
        </w:tc>
        <w:tc>
          <w:tcPr>
            <w:tcW w:w="992" w:type="dxa"/>
            <w:tcBorders>
              <w:top w:val="single" w:sz="4" w:space="0" w:color="auto"/>
              <w:left w:val="nil"/>
              <w:right w:val="nil"/>
            </w:tcBorders>
            <w:shd w:val="clear" w:color="auto" w:fill="E5B8B7" w:themeFill="accent2" w:themeFillTint="66"/>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1,21</w:t>
            </w:r>
          </w:p>
        </w:tc>
        <w:tc>
          <w:tcPr>
            <w:tcW w:w="567" w:type="dxa"/>
            <w:tcBorders>
              <w:top w:val="single" w:sz="4" w:space="0" w:color="auto"/>
              <w:left w:val="single" w:sz="4" w:space="0" w:color="auto"/>
              <w:right w:val="single" w:sz="4" w:space="0" w:color="000000"/>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1,50</w:t>
            </w:r>
          </w:p>
        </w:tc>
        <w:tc>
          <w:tcPr>
            <w:tcW w:w="567" w:type="dxa"/>
            <w:tcBorders>
              <w:top w:val="single" w:sz="4" w:space="0" w:color="auto"/>
              <w:left w:val="nil"/>
            </w:tcBorders>
            <w:shd w:val="clear" w:color="000000" w:fill="FFFFFF"/>
            <w:vAlign w:val="center"/>
            <w:hideMark/>
          </w:tcPr>
          <w:p w:rsidR="00AB0721" w:rsidRPr="00AB0721" w:rsidRDefault="00AB0721" w:rsidP="00B554CA">
            <w:pPr>
              <w:pStyle w:val="Nzev"/>
              <w:jc w:val="center"/>
              <w:rPr>
                <w:rFonts w:eastAsia="Times New Roman"/>
                <w:lang w:eastAsia="cs-CZ"/>
              </w:rPr>
            </w:pPr>
            <w:r w:rsidRPr="00AB0721">
              <w:rPr>
                <w:rFonts w:eastAsia="Times New Roman"/>
                <w:lang w:eastAsia="cs-CZ"/>
              </w:rPr>
              <w:t>1,49</w:t>
            </w:r>
          </w:p>
        </w:tc>
      </w:tr>
    </w:tbl>
    <w:p w:rsidR="009F7155" w:rsidRDefault="00E64E76" w:rsidP="00DB57E3">
      <w:pPr>
        <w:pStyle w:val="Bezmezer"/>
        <w:rPr>
          <w:highlight w:val="yellow"/>
          <w:lang w:eastAsia="cs-CZ"/>
        </w:rPr>
      </w:pPr>
      <w:r w:rsidRPr="00E64E76">
        <w:rPr>
          <w:lang w:eastAsia="cs-CZ"/>
        </w:rPr>
        <w:t>Stejně jako v předchozích případech, i</w:t>
      </w:r>
      <w:r w:rsidR="00DB57E3" w:rsidRPr="00E64E76">
        <w:rPr>
          <w:lang w:eastAsia="cs-CZ"/>
        </w:rPr>
        <w:t xml:space="preserve"> zde dochází k rozporům při konfrontaci s hodnotami, které představují posouzení současného stavu </w:t>
      </w:r>
      <w:r w:rsidR="00DB57E3" w:rsidRPr="009F7155">
        <w:rPr>
          <w:lang w:eastAsia="cs-CZ"/>
        </w:rPr>
        <w:t xml:space="preserve">daných témat. Nejpatrněji je to vidět na tématu </w:t>
      </w:r>
      <w:r w:rsidR="009F7155" w:rsidRPr="009F7155">
        <w:rPr>
          <w:lang w:eastAsia="cs-CZ"/>
        </w:rPr>
        <w:t>spolupráce školy s rodilým mluvčím.</w:t>
      </w:r>
      <w:r w:rsidR="00543E33">
        <w:rPr>
          <w:lang w:eastAsia="cs-CZ"/>
        </w:rPr>
        <w:t xml:space="preserve"> </w:t>
      </w:r>
      <w:r w:rsidR="00C53AE6">
        <w:rPr>
          <w:lang w:eastAsia="cs-CZ"/>
        </w:rPr>
        <w:t>O spolupráci s ním má zájem pouze 42 % škol, což je po výše zmíněné nule druhá nejnižší hodnota. Zároveň však školy průměrně hodnotily současný stav této spolupráce hodnotou 1,2, což je vůbec nejnižší číslo v rámci dané oblasti a zároveň i číslo nižší než celokrajský i celorepublikový průměr.</w:t>
      </w:r>
    </w:p>
    <w:p w:rsidR="00DB57E3" w:rsidRPr="000F2485" w:rsidRDefault="000F2485" w:rsidP="00DB57E3">
      <w:pPr>
        <w:pStyle w:val="Bezmezer"/>
        <w:rPr>
          <w:lang w:eastAsia="cs-CZ"/>
        </w:rPr>
      </w:pPr>
      <w:r w:rsidRPr="000F2485">
        <w:rPr>
          <w:lang w:eastAsia="cs-CZ"/>
        </w:rPr>
        <w:t xml:space="preserve">Další doplňující informace nevybočují z dosud </w:t>
      </w:r>
      <w:r w:rsidR="00A26675">
        <w:rPr>
          <w:lang w:eastAsia="cs-CZ"/>
        </w:rPr>
        <w:t>zobecněných faktů</w:t>
      </w:r>
      <w:r w:rsidR="00DB57E3" w:rsidRPr="000F2485">
        <w:rPr>
          <w:lang w:eastAsia="cs-CZ"/>
        </w:rPr>
        <w:t xml:space="preserve">: </w:t>
      </w:r>
    </w:p>
    <w:p w:rsidR="00DB57E3" w:rsidRPr="00CE7CAC" w:rsidRDefault="00CE7CAC" w:rsidP="00CE7CAC">
      <w:pPr>
        <w:pStyle w:val="Nzev"/>
        <w:numPr>
          <w:ilvl w:val="0"/>
          <w:numId w:val="33"/>
        </w:numPr>
        <w:rPr>
          <w:rFonts w:eastAsia="Times New Roman"/>
          <w:lang w:eastAsia="cs-CZ"/>
        </w:rPr>
      </w:pPr>
      <w:r w:rsidRPr="00CE7CAC">
        <w:rPr>
          <w:rFonts w:eastAsia="Times New Roman"/>
          <w:lang w:eastAsia="cs-CZ"/>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r w:rsidR="00DB57E3" w:rsidRPr="00CE7CAC">
        <w:rPr>
          <w:rFonts w:eastAsia="Times New Roman"/>
          <w:lang w:eastAsia="cs-CZ"/>
        </w:rPr>
        <w:t>. (</w:t>
      </w:r>
      <w:r w:rsidRPr="00CE7CAC">
        <w:rPr>
          <w:rFonts w:eastAsia="Times New Roman"/>
          <w:lang w:eastAsia="cs-CZ"/>
        </w:rPr>
        <w:t>84,2</w:t>
      </w:r>
      <w:r w:rsidR="00DB57E3" w:rsidRPr="00CE7CAC">
        <w:rPr>
          <w:rFonts w:eastAsia="Times New Roman"/>
          <w:lang w:eastAsia="cs-CZ"/>
        </w:rPr>
        <w:t xml:space="preserve"> %)</w:t>
      </w:r>
    </w:p>
    <w:p w:rsidR="00DB57E3" w:rsidRPr="00A26675" w:rsidRDefault="00A26675" w:rsidP="00DB57E3">
      <w:pPr>
        <w:pStyle w:val="Nzev"/>
        <w:numPr>
          <w:ilvl w:val="0"/>
          <w:numId w:val="33"/>
        </w:numPr>
        <w:rPr>
          <w:rFonts w:eastAsia="Times New Roman"/>
          <w:lang w:eastAsia="cs-CZ"/>
        </w:rPr>
      </w:pPr>
      <w:r w:rsidRPr="00A26675">
        <w:rPr>
          <w:rFonts w:eastAsia="Times New Roman"/>
          <w:lang w:eastAsia="cs-CZ"/>
        </w:rPr>
        <w:t>Chybějící nebo nedostatečný srovnávací nástroj úrovně gramotnosti pro žáky daného věku nebo ročníku.</w:t>
      </w:r>
      <w:r w:rsidR="00DB57E3" w:rsidRPr="00A26675">
        <w:rPr>
          <w:rFonts w:eastAsia="Times New Roman"/>
          <w:lang w:eastAsia="cs-CZ"/>
        </w:rPr>
        <w:t xml:space="preserve"> (</w:t>
      </w:r>
      <w:r w:rsidRPr="00A26675">
        <w:rPr>
          <w:rFonts w:eastAsia="Times New Roman"/>
          <w:lang w:eastAsia="cs-CZ"/>
        </w:rPr>
        <w:t>57,9</w:t>
      </w:r>
      <w:r w:rsidR="00DB57E3" w:rsidRPr="00A26675">
        <w:rPr>
          <w:rFonts w:eastAsia="Times New Roman"/>
          <w:lang w:eastAsia="cs-CZ"/>
        </w:rPr>
        <w:t xml:space="preserve"> %)</w:t>
      </w:r>
    </w:p>
    <w:p w:rsidR="00DB57E3" w:rsidRPr="00511065" w:rsidRDefault="00DB57E3" w:rsidP="00DB57E3">
      <w:pPr>
        <w:pStyle w:val="Nzev"/>
        <w:numPr>
          <w:ilvl w:val="0"/>
          <w:numId w:val="33"/>
        </w:numPr>
        <w:rPr>
          <w:rFonts w:eastAsia="Times New Roman"/>
          <w:lang w:eastAsia="cs-CZ"/>
        </w:rPr>
      </w:pPr>
      <w:r w:rsidRPr="00511065">
        <w:rPr>
          <w:rFonts w:eastAsia="Times New Roman"/>
          <w:lang w:eastAsia="cs-CZ"/>
        </w:rPr>
        <w:t>Absence pozice samostatného pracovníka nebo pracovník</w:t>
      </w:r>
      <w:r w:rsidRPr="00511065">
        <w:rPr>
          <w:rFonts w:eastAsia="Times New Roman" w:hint="eastAsia"/>
          <w:lang w:eastAsia="cs-CZ"/>
        </w:rPr>
        <w:t>ů</w:t>
      </w:r>
      <w:r w:rsidRPr="00511065">
        <w:rPr>
          <w:rFonts w:eastAsia="Times New Roman"/>
          <w:lang w:eastAsia="cs-CZ"/>
        </w:rPr>
        <w:t xml:space="preserve"> pro rozvoj p</w:t>
      </w:r>
      <w:r w:rsidRPr="00511065">
        <w:rPr>
          <w:rFonts w:eastAsia="Times New Roman" w:hint="eastAsia"/>
          <w:lang w:eastAsia="cs-CZ"/>
        </w:rPr>
        <w:t>ří</w:t>
      </w:r>
      <w:r w:rsidRPr="00511065">
        <w:rPr>
          <w:rFonts w:eastAsia="Times New Roman"/>
          <w:lang w:eastAsia="cs-CZ"/>
        </w:rPr>
        <w:t>slušné gramotnosti. (</w:t>
      </w:r>
      <w:r w:rsidR="00A26675" w:rsidRPr="00511065">
        <w:rPr>
          <w:rFonts w:eastAsia="Times New Roman"/>
          <w:lang w:eastAsia="cs-CZ"/>
        </w:rPr>
        <w:t>52,6</w:t>
      </w:r>
      <w:r w:rsidRPr="00511065">
        <w:rPr>
          <w:rFonts w:eastAsia="Times New Roman"/>
          <w:lang w:eastAsia="cs-CZ"/>
        </w:rPr>
        <w:t xml:space="preserve"> %)</w:t>
      </w:r>
    </w:p>
    <w:p w:rsidR="009D1458" w:rsidRPr="00511065" w:rsidRDefault="00511065" w:rsidP="00DB57E3">
      <w:pPr>
        <w:pStyle w:val="Bezmezer"/>
        <w:rPr>
          <w:lang w:eastAsia="cs-CZ"/>
        </w:rPr>
      </w:pPr>
      <w:r w:rsidRPr="00511065">
        <w:rPr>
          <w:lang w:eastAsia="cs-CZ"/>
        </w:rPr>
        <w:t xml:space="preserve">Jedná se o téměř totožná témata jako v předchozím případě (dvě ze tří), nízká </w:t>
      </w:r>
      <w:r w:rsidRPr="00125FDC">
        <w:rPr>
          <w:b/>
          <w:lang w:eastAsia="cs-CZ"/>
        </w:rPr>
        <w:t>finanční podpora</w:t>
      </w:r>
      <w:r w:rsidRPr="00511065">
        <w:rPr>
          <w:lang w:eastAsia="cs-CZ"/>
        </w:rPr>
        <w:t xml:space="preserve">, </w:t>
      </w:r>
      <w:r w:rsidRPr="00125FDC">
        <w:rPr>
          <w:b/>
          <w:lang w:eastAsia="cs-CZ"/>
        </w:rPr>
        <w:t>nízké stavy odborných pedagogů</w:t>
      </w:r>
      <w:r w:rsidRPr="00511065">
        <w:rPr>
          <w:lang w:eastAsia="cs-CZ"/>
        </w:rPr>
        <w:t xml:space="preserve"> a rovněž </w:t>
      </w:r>
      <w:r w:rsidRPr="00125FDC">
        <w:rPr>
          <w:b/>
          <w:lang w:eastAsia="cs-CZ"/>
        </w:rPr>
        <w:t>touha po obecně/ celorepublikově platném univerzálním srovnávacím nástroji</w:t>
      </w:r>
      <w:r w:rsidRPr="00511065">
        <w:rPr>
          <w:lang w:eastAsia="cs-CZ"/>
        </w:rPr>
        <w:t xml:space="preserve">, podle něhož by školy mohly uzpůsobovat výuku. Jak již bylo zmíněno výše, </w:t>
      </w:r>
      <w:r w:rsidRPr="00125FDC">
        <w:rPr>
          <w:b/>
          <w:lang w:eastAsia="cs-CZ"/>
        </w:rPr>
        <w:t>nejde ani tak o přání škol, jako spíš o nastavení celého vzdělávacího systému</w:t>
      </w:r>
      <w:r w:rsidRPr="00511065">
        <w:rPr>
          <w:lang w:eastAsia="cs-CZ"/>
        </w:rPr>
        <w:t xml:space="preserve">. </w:t>
      </w:r>
      <w:r w:rsidRPr="000B4EA8">
        <w:rPr>
          <w:b/>
          <w:lang w:eastAsia="cs-CZ"/>
        </w:rPr>
        <w:t xml:space="preserve">Za situace kdy je čím dál více patrné, že větší předností škol </w:t>
      </w:r>
      <w:r w:rsidR="000B4EA8" w:rsidRPr="000B4EA8">
        <w:rPr>
          <w:b/>
          <w:lang w:eastAsia="cs-CZ"/>
        </w:rPr>
        <w:t>(</w:t>
      </w:r>
      <w:r w:rsidRPr="000B4EA8">
        <w:rPr>
          <w:b/>
          <w:lang w:eastAsia="cs-CZ"/>
        </w:rPr>
        <w:t>než je tomu doposud</w:t>
      </w:r>
      <w:r w:rsidR="000B4EA8" w:rsidRPr="000B4EA8">
        <w:rPr>
          <w:b/>
          <w:lang w:eastAsia="cs-CZ"/>
        </w:rPr>
        <w:t>)</w:t>
      </w:r>
      <w:r w:rsidRPr="000B4EA8">
        <w:rPr>
          <w:b/>
          <w:lang w:eastAsia="cs-CZ"/>
        </w:rPr>
        <w:t xml:space="preserve"> by měla být právě jejich jedinečnost. </w:t>
      </w:r>
    </w:p>
    <w:p w:rsidR="009D1458" w:rsidRPr="008433F6" w:rsidRDefault="009D1458" w:rsidP="009D1458">
      <w:pPr>
        <w:pStyle w:val="Bezmezer"/>
        <w:rPr>
          <w:u w:val="single"/>
        </w:rPr>
      </w:pPr>
      <w:r w:rsidRPr="008433F6">
        <w:rPr>
          <w:u w:val="single"/>
        </w:rPr>
        <w:lastRenderedPageBreak/>
        <w:t>Podpora kompetencí k podnikavosti, iniciativě a kreativitě</w:t>
      </w:r>
    </w:p>
    <w:p w:rsidR="008433F6" w:rsidRPr="00097537" w:rsidRDefault="00B54899" w:rsidP="008433F6">
      <w:pPr>
        <w:pStyle w:val="Bezmezer"/>
      </w:pPr>
      <w:r>
        <w:t>Této oblasti</w:t>
      </w:r>
      <w:r w:rsidR="008E0208">
        <w:t xml:space="preserve"> bylo školami přiřknuto </w:t>
      </w:r>
      <w:r w:rsidR="008E0208" w:rsidRPr="00B04F83">
        <w:rPr>
          <w:b/>
        </w:rPr>
        <w:t>dosud největší penzum aktivit pro druhé období</w:t>
      </w:r>
      <w:r w:rsidR="008E0208">
        <w:t xml:space="preserve"> a to v průměru rovných 10 %. </w:t>
      </w:r>
      <w:r w:rsidR="00314920">
        <w:t xml:space="preserve">První období však jako ve všech případech i tak dominuje a to hodnotou 69 %. </w:t>
      </w:r>
      <w:r w:rsidR="00565575">
        <w:t>S </w:t>
      </w:r>
      <w:r w:rsidR="00565575" w:rsidRPr="00B04F83">
        <w:rPr>
          <w:b/>
        </w:rPr>
        <w:t>hodnotou dosahující alespoň deseti procent pro druhé sledované období</w:t>
      </w:r>
      <w:r w:rsidR="00565575">
        <w:t xml:space="preserve"> se setkáme ještě v případě </w:t>
      </w:r>
      <w:r w:rsidR="00565575" w:rsidRPr="00B04F83">
        <w:rPr>
          <w:b/>
        </w:rPr>
        <w:t>sociál</w:t>
      </w:r>
      <w:r w:rsidR="006D6D69" w:rsidRPr="00B04F83">
        <w:rPr>
          <w:b/>
        </w:rPr>
        <w:t>n</w:t>
      </w:r>
      <w:r w:rsidR="00565575" w:rsidRPr="00B04F83">
        <w:rPr>
          <w:b/>
        </w:rPr>
        <w:t>í a občanské dovednosti</w:t>
      </w:r>
      <w:r w:rsidR="00565575">
        <w:t xml:space="preserve"> </w:t>
      </w:r>
      <w:r w:rsidR="001174AD">
        <w:t>(tam bude hodnota dosahovat dokonce 11 %)</w:t>
      </w:r>
      <w:r>
        <w:t>. V obou případech lze mluvit o „</w:t>
      </w:r>
      <w:r w:rsidRPr="00B04F83">
        <w:rPr>
          <w:b/>
        </w:rPr>
        <w:t>měkkých“ oblastech</w:t>
      </w:r>
      <w:r w:rsidR="006C11D1" w:rsidRPr="00B04F83">
        <w:rPr>
          <w:b/>
        </w:rPr>
        <w:t xml:space="preserve"> spíše humanitního než technického rázu</w:t>
      </w:r>
      <w:r w:rsidR="006C11D1">
        <w:t>, čímž je jejich upozaďování až do druhého období z části vysvětleno. Snad to nebude až tak velké zobecnění, prohlásíme-li, že v české společnosti obecně panuje názor, že technické směry vzdělávání jsou „užitečnější“ než ty humanitní.</w:t>
      </w:r>
    </w:p>
    <w:p w:rsidR="008433F6" w:rsidRPr="009A15C7" w:rsidRDefault="00E90A5B" w:rsidP="008433F6">
      <w:pPr>
        <w:pStyle w:val="Bezmezer"/>
      </w:pPr>
      <w:r>
        <w:t>Vrátíme-li se však k samotné oblasti, tak z</w:t>
      </w:r>
      <w:r w:rsidR="008433F6" w:rsidRPr="009A15C7">
        <w:t> </w:t>
      </w:r>
      <w:r w:rsidR="009A15C7">
        <w:t>deseti</w:t>
      </w:r>
      <w:r w:rsidR="008433F6" w:rsidRPr="009A15C7">
        <w:t xml:space="preserve"> témat </w:t>
      </w:r>
      <w:r w:rsidR="006C11D1">
        <w:t xml:space="preserve">potom </w:t>
      </w:r>
      <w:r w:rsidR="008433F6" w:rsidRPr="009A15C7">
        <w:t xml:space="preserve">mezi ty nejčastěji zmiňovaná patří </w:t>
      </w:r>
      <w:r w:rsidR="009A15C7">
        <w:t>tyto tři</w:t>
      </w:r>
      <w:r w:rsidR="008433F6" w:rsidRPr="009A15C7">
        <w:t>:</w:t>
      </w:r>
    </w:p>
    <w:p w:rsidR="008433F6" w:rsidRPr="009A15C7" w:rsidRDefault="009A15C7" w:rsidP="008433F6">
      <w:pPr>
        <w:pStyle w:val="Nzev"/>
        <w:numPr>
          <w:ilvl w:val="0"/>
          <w:numId w:val="32"/>
        </w:numPr>
        <w:rPr>
          <w:rFonts w:eastAsia="Times New Roman"/>
          <w:lang w:eastAsia="cs-CZ"/>
        </w:rPr>
      </w:pPr>
      <w:r w:rsidRPr="009A15C7">
        <w:t>Škola systematicky učí prvkům iniciativy a kreativity, prostředí i přístup pedagogů podporuje fantazii a iniciativu dětí</w:t>
      </w:r>
      <w:r w:rsidR="008433F6" w:rsidRPr="009A15C7">
        <w:rPr>
          <w:rFonts w:eastAsia="Times New Roman"/>
          <w:lang w:eastAsia="cs-CZ"/>
        </w:rPr>
        <w:t>. (</w:t>
      </w:r>
      <w:r w:rsidRPr="009A15C7">
        <w:rPr>
          <w:rFonts w:eastAsia="Times New Roman"/>
          <w:lang w:eastAsia="cs-CZ"/>
        </w:rPr>
        <w:t>84</w:t>
      </w:r>
      <w:r w:rsidR="008433F6" w:rsidRPr="009A15C7">
        <w:rPr>
          <w:rFonts w:eastAsia="Times New Roman"/>
          <w:lang w:eastAsia="cs-CZ"/>
        </w:rPr>
        <w:t>,</w:t>
      </w:r>
      <w:r w:rsidRPr="009A15C7">
        <w:rPr>
          <w:rFonts w:eastAsia="Times New Roman"/>
          <w:lang w:eastAsia="cs-CZ"/>
        </w:rPr>
        <w:t>2</w:t>
      </w:r>
      <w:r w:rsidR="008433F6" w:rsidRPr="009A15C7">
        <w:rPr>
          <w:rFonts w:eastAsia="Times New Roman"/>
          <w:lang w:eastAsia="cs-CZ"/>
        </w:rPr>
        <w:t xml:space="preserve"> %)</w:t>
      </w:r>
    </w:p>
    <w:p w:rsidR="008433F6" w:rsidRPr="009A15C7" w:rsidRDefault="009A15C7" w:rsidP="008433F6">
      <w:pPr>
        <w:pStyle w:val="Nzev"/>
        <w:numPr>
          <w:ilvl w:val="0"/>
          <w:numId w:val="32"/>
        </w:numPr>
        <w:rPr>
          <w:rFonts w:eastAsia="Times New Roman"/>
          <w:lang w:eastAsia="cs-CZ"/>
        </w:rPr>
      </w:pPr>
      <w:r w:rsidRPr="009A15C7">
        <w:t>Ve škole existuje prostor pro pravidelné sdílení zkušeností (dílny nápadů apod.)</w:t>
      </w:r>
      <w:r w:rsidR="008433F6" w:rsidRPr="009A15C7">
        <w:t>.</w:t>
      </w:r>
      <w:r w:rsidR="008433F6" w:rsidRPr="009A15C7">
        <w:rPr>
          <w:rFonts w:eastAsia="Times New Roman"/>
          <w:lang w:eastAsia="cs-CZ"/>
        </w:rPr>
        <w:t xml:space="preserve"> (</w:t>
      </w:r>
      <w:r w:rsidRPr="009A15C7">
        <w:rPr>
          <w:rFonts w:eastAsia="Times New Roman"/>
          <w:lang w:eastAsia="cs-CZ"/>
        </w:rPr>
        <w:t>84</w:t>
      </w:r>
      <w:r w:rsidR="008433F6" w:rsidRPr="009A15C7">
        <w:rPr>
          <w:rFonts w:eastAsia="Times New Roman"/>
          <w:lang w:eastAsia="cs-CZ"/>
        </w:rPr>
        <w:t>,</w:t>
      </w:r>
      <w:r w:rsidRPr="009A15C7">
        <w:rPr>
          <w:rFonts w:eastAsia="Times New Roman"/>
          <w:lang w:eastAsia="cs-CZ"/>
        </w:rPr>
        <w:t>2</w:t>
      </w:r>
      <w:r w:rsidR="008433F6" w:rsidRPr="009A15C7">
        <w:rPr>
          <w:rFonts w:eastAsia="Times New Roman"/>
          <w:lang w:eastAsia="cs-CZ"/>
        </w:rPr>
        <w:t xml:space="preserve"> %)</w:t>
      </w:r>
    </w:p>
    <w:p w:rsidR="008433F6" w:rsidRPr="009A15C7" w:rsidRDefault="009A15C7" w:rsidP="008433F6">
      <w:pPr>
        <w:pStyle w:val="Nzev"/>
        <w:numPr>
          <w:ilvl w:val="0"/>
          <w:numId w:val="32"/>
        </w:numPr>
        <w:rPr>
          <w:rFonts w:eastAsia="Times New Roman"/>
          <w:lang w:eastAsia="cs-CZ"/>
        </w:rPr>
      </w:pPr>
      <w:r w:rsidRPr="009A15C7">
        <w:t>Škola učí žáky myslet kriticky, vnímat problémy ve svém okolí a nacházet inovativní řešení, nést rizika i plánovat a řídit projekty s cílem dosáhnout určitých cílů (např. projektové dny; při výuce jsou zařazeny úlohy s </w:t>
      </w:r>
      <w:proofErr w:type="spellStart"/>
      <w:r w:rsidRPr="009A15C7">
        <w:t>vícevariantním</w:t>
      </w:r>
      <w:proofErr w:type="spellEnd"/>
      <w:r w:rsidRPr="009A15C7">
        <w:t xml:space="preserve"> i neexistujícím řešením atp.)</w:t>
      </w:r>
      <w:r w:rsidR="008433F6" w:rsidRPr="009A15C7">
        <w:t>.</w:t>
      </w:r>
      <w:r w:rsidR="008433F6" w:rsidRPr="009A15C7">
        <w:rPr>
          <w:rFonts w:eastAsia="Times New Roman"/>
          <w:lang w:eastAsia="cs-CZ"/>
        </w:rPr>
        <w:t xml:space="preserve"> (</w:t>
      </w:r>
      <w:r w:rsidRPr="009A15C7">
        <w:rPr>
          <w:rFonts w:eastAsia="Times New Roman"/>
          <w:lang w:eastAsia="cs-CZ"/>
        </w:rPr>
        <w:t>73</w:t>
      </w:r>
      <w:r w:rsidR="008433F6" w:rsidRPr="009A15C7">
        <w:rPr>
          <w:rFonts w:eastAsia="Times New Roman"/>
          <w:lang w:eastAsia="cs-CZ"/>
        </w:rPr>
        <w:t>,</w:t>
      </w:r>
      <w:r w:rsidRPr="009A15C7">
        <w:rPr>
          <w:rFonts w:eastAsia="Times New Roman"/>
          <w:lang w:eastAsia="cs-CZ"/>
        </w:rPr>
        <w:t>7</w:t>
      </w:r>
      <w:r w:rsidR="008433F6" w:rsidRPr="009A15C7">
        <w:rPr>
          <w:rFonts w:eastAsia="Times New Roman"/>
          <w:lang w:eastAsia="cs-CZ"/>
        </w:rPr>
        <w:t xml:space="preserve"> %)</w:t>
      </w:r>
    </w:p>
    <w:p w:rsidR="008433F6" w:rsidRPr="008433F6" w:rsidRDefault="008433F6" w:rsidP="008433F6">
      <w:pPr>
        <w:pStyle w:val="Nadpis5"/>
      </w:pPr>
      <w:r w:rsidRPr="008433F6">
        <w:t>Tabulka: Podnikavost, iniciativa a kreativita</w:t>
      </w:r>
    </w:p>
    <w:tbl>
      <w:tblPr>
        <w:tblW w:w="9089" w:type="dxa"/>
        <w:tblLayout w:type="fixed"/>
        <w:tblCellMar>
          <w:left w:w="0" w:type="dxa"/>
          <w:right w:w="0" w:type="dxa"/>
        </w:tblCellMar>
        <w:tblLook w:val="04A0"/>
      </w:tblPr>
      <w:tblGrid>
        <w:gridCol w:w="5262"/>
        <w:gridCol w:w="992"/>
        <w:gridCol w:w="851"/>
        <w:gridCol w:w="850"/>
        <w:gridCol w:w="567"/>
        <w:gridCol w:w="567"/>
      </w:tblGrid>
      <w:tr w:rsidR="008433F6" w:rsidRPr="00E50121" w:rsidTr="00DF4192">
        <w:trPr>
          <w:trHeight w:val="227"/>
        </w:trPr>
        <w:tc>
          <w:tcPr>
            <w:tcW w:w="5262" w:type="dxa"/>
            <w:vMerge w:val="restart"/>
            <w:tcBorders>
              <w:bottom w:val="single" w:sz="4" w:space="0" w:color="000000"/>
              <w:right w:val="single" w:sz="4" w:space="0" w:color="auto"/>
            </w:tcBorders>
            <w:shd w:val="clear" w:color="000000" w:fill="FAC090"/>
            <w:tcMar>
              <w:top w:w="17" w:type="dxa"/>
              <w:left w:w="17" w:type="dxa"/>
              <w:bottom w:w="0" w:type="dxa"/>
              <w:right w:w="17" w:type="dxa"/>
            </w:tcMar>
            <w:vAlign w:val="center"/>
            <w:hideMark/>
          </w:tcPr>
          <w:p w:rsidR="008433F6" w:rsidRPr="00E50121" w:rsidRDefault="008433F6" w:rsidP="00B554CA">
            <w:pPr>
              <w:pStyle w:val="Nzev"/>
              <w:ind w:left="-134"/>
              <w:jc w:val="left"/>
            </w:pPr>
            <w:r w:rsidRPr="00E50121">
              <w:t> </w:t>
            </w:r>
          </w:p>
        </w:tc>
        <w:tc>
          <w:tcPr>
            <w:tcW w:w="1843" w:type="dxa"/>
            <w:gridSpan w:val="2"/>
            <w:tcBorders>
              <w:left w:val="nil"/>
              <w:bottom w:val="nil"/>
              <w:right w:val="single" w:sz="4" w:space="0" w:color="000000"/>
            </w:tcBorders>
            <w:shd w:val="clear" w:color="000000" w:fill="FAC090"/>
            <w:tcMar>
              <w:top w:w="17" w:type="dxa"/>
              <w:left w:w="17" w:type="dxa"/>
              <w:bottom w:w="0" w:type="dxa"/>
              <w:right w:w="17" w:type="dxa"/>
            </w:tcMar>
            <w:vAlign w:val="bottom"/>
            <w:hideMark/>
          </w:tcPr>
          <w:p w:rsidR="008433F6" w:rsidRPr="00E50121" w:rsidRDefault="008433F6" w:rsidP="00B554CA">
            <w:pPr>
              <w:pStyle w:val="Nzev"/>
              <w:jc w:val="center"/>
            </w:pPr>
            <w:r w:rsidRPr="00E50121">
              <w:t xml:space="preserve">Podíl ZŠ v rámci </w:t>
            </w:r>
            <w:r w:rsidR="00097537" w:rsidRPr="00E50121">
              <w:t xml:space="preserve">SO </w:t>
            </w:r>
            <w:r w:rsidRPr="00E50121">
              <w:t>ORP plánujících zlepšení</w:t>
            </w:r>
          </w:p>
        </w:tc>
        <w:tc>
          <w:tcPr>
            <w:tcW w:w="1984" w:type="dxa"/>
            <w:gridSpan w:val="3"/>
            <w:tcBorders>
              <w:left w:val="nil"/>
              <w:bottom w:val="nil"/>
            </w:tcBorders>
            <w:shd w:val="clear" w:color="000000" w:fill="FAC090"/>
            <w:tcMar>
              <w:top w:w="17" w:type="dxa"/>
              <w:left w:w="17" w:type="dxa"/>
              <w:bottom w:w="0" w:type="dxa"/>
              <w:right w:w="17" w:type="dxa"/>
            </w:tcMar>
            <w:vAlign w:val="center"/>
            <w:hideMark/>
          </w:tcPr>
          <w:p w:rsidR="008433F6" w:rsidRPr="00E50121" w:rsidRDefault="008433F6" w:rsidP="00B554CA">
            <w:pPr>
              <w:pStyle w:val="Nzev"/>
              <w:jc w:val="center"/>
            </w:pPr>
            <w:r w:rsidRPr="00E50121">
              <w:t>Průměrné hodnocení aktuálního stavu</w:t>
            </w:r>
          </w:p>
        </w:tc>
      </w:tr>
      <w:tr w:rsidR="00A341C5" w:rsidRPr="00E50121" w:rsidTr="00DF4192">
        <w:trPr>
          <w:trHeight w:val="227"/>
        </w:trPr>
        <w:tc>
          <w:tcPr>
            <w:tcW w:w="5262" w:type="dxa"/>
            <w:vMerge/>
            <w:tcBorders>
              <w:top w:val="single" w:sz="8" w:space="0" w:color="auto"/>
              <w:bottom w:val="single" w:sz="4" w:space="0" w:color="000000"/>
              <w:right w:val="single" w:sz="4" w:space="0" w:color="auto"/>
            </w:tcBorders>
            <w:vAlign w:val="center"/>
            <w:hideMark/>
          </w:tcPr>
          <w:p w:rsidR="008433F6" w:rsidRPr="00E50121" w:rsidRDefault="008433F6" w:rsidP="00B554CA">
            <w:pPr>
              <w:pStyle w:val="Nzev"/>
              <w:ind w:left="-134"/>
              <w:jc w:val="left"/>
            </w:pPr>
          </w:p>
        </w:tc>
        <w:tc>
          <w:tcPr>
            <w:tcW w:w="992" w:type="dxa"/>
            <w:tcBorders>
              <w:top w:val="single" w:sz="4" w:space="0" w:color="auto"/>
              <w:left w:val="nil"/>
              <w:bottom w:val="single" w:sz="4" w:space="0" w:color="auto"/>
              <w:right w:val="single" w:sz="4" w:space="0" w:color="auto"/>
            </w:tcBorders>
            <w:shd w:val="clear" w:color="000000" w:fill="FAC090"/>
            <w:tcMar>
              <w:top w:w="17" w:type="dxa"/>
              <w:left w:w="17" w:type="dxa"/>
              <w:bottom w:w="0" w:type="dxa"/>
              <w:right w:w="17" w:type="dxa"/>
            </w:tcMar>
            <w:vAlign w:val="center"/>
            <w:hideMark/>
          </w:tcPr>
          <w:p w:rsidR="008433F6" w:rsidRPr="00E50121" w:rsidRDefault="008433F6" w:rsidP="00B554CA">
            <w:pPr>
              <w:pStyle w:val="Nzev"/>
              <w:jc w:val="center"/>
            </w:pPr>
            <w:r w:rsidRPr="00E50121">
              <w:t>2016–18</w:t>
            </w:r>
          </w:p>
        </w:tc>
        <w:tc>
          <w:tcPr>
            <w:tcW w:w="851" w:type="dxa"/>
            <w:tcBorders>
              <w:top w:val="single" w:sz="4" w:space="0" w:color="auto"/>
              <w:left w:val="nil"/>
              <w:bottom w:val="single" w:sz="4" w:space="0" w:color="auto"/>
              <w:right w:val="single" w:sz="4" w:space="0" w:color="auto"/>
            </w:tcBorders>
            <w:shd w:val="clear" w:color="000000" w:fill="FAC090"/>
            <w:tcMar>
              <w:top w:w="17" w:type="dxa"/>
              <w:left w:w="17" w:type="dxa"/>
              <w:bottom w:w="0" w:type="dxa"/>
              <w:right w:w="17" w:type="dxa"/>
            </w:tcMar>
            <w:vAlign w:val="center"/>
            <w:hideMark/>
          </w:tcPr>
          <w:p w:rsidR="008433F6" w:rsidRPr="00E50121" w:rsidRDefault="008433F6" w:rsidP="00B554CA">
            <w:pPr>
              <w:pStyle w:val="Nzev"/>
              <w:jc w:val="center"/>
            </w:pPr>
            <w:r w:rsidRPr="00E50121">
              <w:t>2019–20</w:t>
            </w:r>
          </w:p>
        </w:tc>
        <w:tc>
          <w:tcPr>
            <w:tcW w:w="850" w:type="dxa"/>
            <w:tcBorders>
              <w:top w:val="single" w:sz="4" w:space="0" w:color="auto"/>
              <w:left w:val="nil"/>
              <w:bottom w:val="single" w:sz="4" w:space="0" w:color="auto"/>
              <w:right w:val="nil"/>
            </w:tcBorders>
            <w:shd w:val="clear" w:color="000000" w:fill="FAC090"/>
            <w:tcMar>
              <w:top w:w="17" w:type="dxa"/>
              <w:left w:w="17" w:type="dxa"/>
              <w:bottom w:w="0" w:type="dxa"/>
              <w:right w:w="17" w:type="dxa"/>
            </w:tcMar>
            <w:vAlign w:val="center"/>
            <w:hideMark/>
          </w:tcPr>
          <w:p w:rsidR="008433F6" w:rsidRPr="00E50121" w:rsidRDefault="008433F6" w:rsidP="00B554CA">
            <w:pPr>
              <w:pStyle w:val="Nzev"/>
              <w:jc w:val="center"/>
            </w:pPr>
            <w:r w:rsidRPr="00E50121">
              <w:t>SO ORP</w:t>
            </w:r>
          </w:p>
        </w:tc>
        <w:tc>
          <w:tcPr>
            <w:tcW w:w="567" w:type="dxa"/>
            <w:tcBorders>
              <w:top w:val="single" w:sz="4" w:space="0" w:color="auto"/>
              <w:left w:val="single" w:sz="4" w:space="0" w:color="auto"/>
              <w:bottom w:val="single" w:sz="4" w:space="0" w:color="auto"/>
              <w:right w:val="single" w:sz="4" w:space="0" w:color="000000"/>
            </w:tcBorders>
            <w:shd w:val="clear" w:color="000000" w:fill="FAC090"/>
            <w:tcMar>
              <w:top w:w="17" w:type="dxa"/>
              <w:left w:w="17" w:type="dxa"/>
              <w:bottom w:w="0" w:type="dxa"/>
              <w:right w:w="17" w:type="dxa"/>
            </w:tcMar>
            <w:vAlign w:val="center"/>
            <w:hideMark/>
          </w:tcPr>
          <w:p w:rsidR="008433F6" w:rsidRPr="00E50121" w:rsidRDefault="008433F6" w:rsidP="00B554CA">
            <w:pPr>
              <w:pStyle w:val="Nzev"/>
              <w:jc w:val="center"/>
            </w:pPr>
            <w:r w:rsidRPr="00E50121">
              <w:t>kraj</w:t>
            </w:r>
          </w:p>
        </w:tc>
        <w:tc>
          <w:tcPr>
            <w:tcW w:w="567" w:type="dxa"/>
            <w:tcBorders>
              <w:top w:val="single" w:sz="4" w:space="0" w:color="auto"/>
              <w:left w:val="nil"/>
              <w:bottom w:val="single" w:sz="4" w:space="0" w:color="auto"/>
            </w:tcBorders>
            <w:shd w:val="clear" w:color="000000" w:fill="FAC090"/>
            <w:tcMar>
              <w:top w:w="17" w:type="dxa"/>
              <w:left w:w="17" w:type="dxa"/>
              <w:bottom w:w="0" w:type="dxa"/>
              <w:right w:w="17" w:type="dxa"/>
            </w:tcMar>
            <w:vAlign w:val="center"/>
            <w:hideMark/>
          </w:tcPr>
          <w:p w:rsidR="008433F6" w:rsidRPr="00E50121" w:rsidRDefault="008433F6" w:rsidP="00B554CA">
            <w:pPr>
              <w:pStyle w:val="Nzev"/>
              <w:jc w:val="center"/>
            </w:pPr>
            <w:r w:rsidRPr="00E50121">
              <w:t>ČR</w:t>
            </w:r>
          </w:p>
        </w:tc>
      </w:tr>
      <w:tr w:rsidR="00A341C5" w:rsidRPr="00E50121" w:rsidTr="00DF4192">
        <w:trPr>
          <w:trHeight w:val="227"/>
        </w:trPr>
        <w:tc>
          <w:tcPr>
            <w:tcW w:w="5262" w:type="dxa"/>
            <w:tcBorders>
              <w:top w:val="nil"/>
              <w:bottom w:val="nil"/>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Škola podporuje klíčové kompetence k rozvoji kreativity podle RVP ZV</w:t>
            </w:r>
          </w:p>
        </w:tc>
        <w:tc>
          <w:tcPr>
            <w:tcW w:w="992" w:type="dxa"/>
            <w:tcBorders>
              <w:top w:val="nil"/>
              <w:left w:val="nil"/>
              <w:bottom w:val="nil"/>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63,2%</w:t>
            </w:r>
          </w:p>
        </w:tc>
        <w:tc>
          <w:tcPr>
            <w:tcW w:w="851" w:type="dxa"/>
            <w:tcBorders>
              <w:top w:val="nil"/>
              <w:left w:val="nil"/>
              <w:bottom w:val="nil"/>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0,0%</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2,95</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2,82</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2,76</w:t>
            </w:r>
          </w:p>
        </w:tc>
      </w:tr>
      <w:tr w:rsidR="00A341C5" w:rsidRPr="00E50121" w:rsidTr="00DF4192">
        <w:trPr>
          <w:trHeight w:val="227"/>
        </w:trPr>
        <w:tc>
          <w:tcPr>
            <w:tcW w:w="5262" w:type="dxa"/>
            <w:tcBorders>
              <w:top w:val="single" w:sz="4" w:space="0" w:color="auto"/>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Učitelé rozvíjejí své znalosti v oblasti podpory kreativity a využívají je ve výchově (kurzy dalšího vzdělávání, studium literatury aj.)</w:t>
            </w:r>
          </w:p>
        </w:tc>
        <w:tc>
          <w:tcPr>
            <w:tcW w:w="992" w:type="dxa"/>
            <w:tcBorders>
              <w:top w:val="single" w:sz="4" w:space="0" w:color="auto"/>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68,4%</w:t>
            </w:r>
          </w:p>
        </w:tc>
        <w:tc>
          <w:tcPr>
            <w:tcW w:w="851" w:type="dxa"/>
            <w:tcBorders>
              <w:top w:val="single" w:sz="4" w:space="0" w:color="auto"/>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10,5%</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2,79</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2,69</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2,63</w:t>
            </w:r>
          </w:p>
        </w:tc>
      </w:tr>
      <w:tr w:rsidR="00A341C5" w:rsidRPr="00E50121" w:rsidTr="00DF4192">
        <w:trPr>
          <w:trHeight w:val="227"/>
        </w:trPr>
        <w:tc>
          <w:tcPr>
            <w:tcW w:w="5262" w:type="dxa"/>
            <w:tcBorders>
              <w:top w:val="nil"/>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Učitelé využívají poznatků v praxi a sdílejí dobrou praxi mezi sebou i s učiteli z jiných škol</w:t>
            </w:r>
          </w:p>
        </w:tc>
        <w:tc>
          <w:tcPr>
            <w:tcW w:w="992"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68,4%</w:t>
            </w:r>
          </w:p>
        </w:tc>
        <w:tc>
          <w:tcPr>
            <w:tcW w:w="85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15,8%</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2,42</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2,38</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2,33</w:t>
            </w:r>
          </w:p>
        </w:tc>
      </w:tr>
      <w:tr w:rsidR="00A341C5" w:rsidRPr="00E50121" w:rsidTr="00DF4192">
        <w:trPr>
          <w:trHeight w:val="227"/>
        </w:trPr>
        <w:tc>
          <w:tcPr>
            <w:tcW w:w="5262" w:type="dxa"/>
            <w:tcBorders>
              <w:top w:val="nil"/>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Škola systematicky učí prvkům iniciativy a kreativity, prostředí i přístup pedagogů podporuje fantazii a iniciativu dětí</w:t>
            </w:r>
          </w:p>
        </w:tc>
        <w:tc>
          <w:tcPr>
            <w:tcW w:w="992" w:type="dxa"/>
            <w:tcBorders>
              <w:top w:val="single" w:sz="4" w:space="0" w:color="auto"/>
              <w:left w:val="nil"/>
              <w:bottom w:val="single" w:sz="4" w:space="0" w:color="auto"/>
              <w:right w:val="single" w:sz="4" w:space="0" w:color="auto"/>
            </w:tcBorders>
            <w:shd w:val="clear" w:color="000000" w:fill="C6EFCE"/>
            <w:tcMar>
              <w:top w:w="17" w:type="dxa"/>
              <w:left w:w="17" w:type="dxa"/>
              <w:bottom w:w="0" w:type="dxa"/>
              <w:right w:w="17" w:type="dxa"/>
            </w:tcMar>
            <w:vAlign w:val="center"/>
            <w:hideMark/>
          </w:tcPr>
          <w:p w:rsidR="008433F6" w:rsidRPr="00E50121" w:rsidRDefault="008433F6" w:rsidP="00B554CA">
            <w:pPr>
              <w:pStyle w:val="Nzev"/>
              <w:jc w:val="center"/>
            </w:pPr>
            <w:r w:rsidRPr="00E50121">
              <w:t>84,2%</w:t>
            </w:r>
          </w:p>
        </w:tc>
        <w:tc>
          <w:tcPr>
            <w:tcW w:w="85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5,3%</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2,89</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2,67</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2,63</w:t>
            </w:r>
          </w:p>
        </w:tc>
      </w:tr>
      <w:tr w:rsidR="00A341C5" w:rsidRPr="00E50121" w:rsidTr="00DF4192">
        <w:trPr>
          <w:trHeight w:val="227"/>
        </w:trPr>
        <w:tc>
          <w:tcPr>
            <w:tcW w:w="5262" w:type="dxa"/>
            <w:tcBorders>
              <w:top w:val="nil"/>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Škola učí žáky myslet kriticky, vnímat problémy ve svém okolí a nacházet inovativní řešení, nést rizika i plánovat a řídit projekty s cílem dosáhnout určitých cílů (např. projektové dny; při výuce jsou zařazeny úlohy s </w:t>
            </w:r>
            <w:proofErr w:type="spellStart"/>
            <w:r w:rsidRPr="00E50121">
              <w:t>vícevariantním</w:t>
            </w:r>
            <w:proofErr w:type="spellEnd"/>
            <w:r w:rsidRPr="00E50121">
              <w:t xml:space="preserve"> i neexistujícím řešením atp.)</w:t>
            </w:r>
          </w:p>
        </w:tc>
        <w:tc>
          <w:tcPr>
            <w:tcW w:w="992" w:type="dxa"/>
            <w:tcBorders>
              <w:top w:val="single" w:sz="4" w:space="0" w:color="auto"/>
              <w:left w:val="nil"/>
              <w:bottom w:val="single" w:sz="4" w:space="0" w:color="auto"/>
              <w:right w:val="single" w:sz="4" w:space="0" w:color="auto"/>
            </w:tcBorders>
            <w:shd w:val="clear" w:color="000000" w:fill="C6EFCE"/>
            <w:tcMar>
              <w:top w:w="17" w:type="dxa"/>
              <w:left w:w="17" w:type="dxa"/>
              <w:bottom w:w="0" w:type="dxa"/>
              <w:right w:w="17" w:type="dxa"/>
            </w:tcMar>
            <w:vAlign w:val="center"/>
            <w:hideMark/>
          </w:tcPr>
          <w:p w:rsidR="008433F6" w:rsidRPr="00E50121" w:rsidRDefault="008433F6" w:rsidP="00B554CA">
            <w:pPr>
              <w:pStyle w:val="Nzev"/>
              <w:jc w:val="center"/>
            </w:pPr>
            <w:r w:rsidRPr="00E50121">
              <w:t>73,7%</w:t>
            </w:r>
          </w:p>
        </w:tc>
        <w:tc>
          <w:tcPr>
            <w:tcW w:w="85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10,5%</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2,74</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2,62</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2,57</w:t>
            </w:r>
          </w:p>
        </w:tc>
      </w:tr>
      <w:tr w:rsidR="00A341C5" w:rsidRPr="00E50121" w:rsidTr="00DF4192">
        <w:trPr>
          <w:trHeight w:val="227"/>
        </w:trPr>
        <w:tc>
          <w:tcPr>
            <w:tcW w:w="5262" w:type="dxa"/>
            <w:tcBorders>
              <w:top w:val="nil"/>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 xml:space="preserve">Žáci se aktivně podílejí na činnostech fiktivních firem či akcích Junior </w:t>
            </w:r>
            <w:proofErr w:type="spellStart"/>
            <w:r w:rsidRPr="00E50121">
              <w:t>Achievement</w:t>
            </w:r>
            <w:proofErr w:type="spellEnd"/>
            <w:r w:rsidRPr="00E50121">
              <w:t xml:space="preserve"> nebo v obdobných dalších (např. Podnikavá škola), a/nebo se aktivně podílejí na přípravě a realizaci projektů školy</w:t>
            </w:r>
          </w:p>
        </w:tc>
        <w:tc>
          <w:tcPr>
            <w:tcW w:w="992"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63,2%</w:t>
            </w:r>
          </w:p>
        </w:tc>
        <w:tc>
          <w:tcPr>
            <w:tcW w:w="85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10,5%</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1,79</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1,56</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1,53</w:t>
            </w:r>
          </w:p>
        </w:tc>
      </w:tr>
      <w:tr w:rsidR="00A341C5" w:rsidRPr="00E50121" w:rsidTr="00DF4192">
        <w:trPr>
          <w:trHeight w:val="227"/>
        </w:trPr>
        <w:tc>
          <w:tcPr>
            <w:tcW w:w="5262" w:type="dxa"/>
            <w:tcBorders>
              <w:top w:val="nil"/>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Škola organizuje konzultace, debaty a exkurze na podporu podnikavosti, iniciativy pro žáky i učitele</w:t>
            </w:r>
          </w:p>
        </w:tc>
        <w:tc>
          <w:tcPr>
            <w:tcW w:w="992"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57,9%</w:t>
            </w:r>
          </w:p>
        </w:tc>
        <w:tc>
          <w:tcPr>
            <w:tcW w:w="85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10,5%</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1,68</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1,59</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1,60</w:t>
            </w:r>
          </w:p>
        </w:tc>
      </w:tr>
      <w:tr w:rsidR="00A341C5" w:rsidRPr="00E50121" w:rsidTr="00DF4192">
        <w:trPr>
          <w:trHeight w:val="227"/>
        </w:trPr>
        <w:tc>
          <w:tcPr>
            <w:tcW w:w="5262" w:type="dxa"/>
            <w:tcBorders>
              <w:top w:val="nil"/>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Škola rozvíjí finanční gramotnost žáků (učí je znát hodnotu peněz, pracovat s úsporami, znát rizika)</w:t>
            </w:r>
          </w:p>
        </w:tc>
        <w:tc>
          <w:tcPr>
            <w:tcW w:w="992"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68,4%</w:t>
            </w:r>
          </w:p>
        </w:tc>
        <w:tc>
          <w:tcPr>
            <w:tcW w:w="85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10,5%</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3,00</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2,77</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2,73</w:t>
            </w:r>
          </w:p>
        </w:tc>
      </w:tr>
      <w:tr w:rsidR="00A341C5" w:rsidRPr="00E50121" w:rsidTr="00DF4192">
        <w:trPr>
          <w:trHeight w:val="227"/>
        </w:trPr>
        <w:tc>
          <w:tcPr>
            <w:tcW w:w="5262" w:type="dxa"/>
            <w:tcBorders>
              <w:top w:val="nil"/>
              <w:bottom w:val="single" w:sz="4" w:space="0" w:color="auto"/>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Ve škole existuje prostor pro pravidelné sdílení zkušeností (dílny nápadů apod.)</w:t>
            </w:r>
          </w:p>
        </w:tc>
        <w:tc>
          <w:tcPr>
            <w:tcW w:w="992" w:type="dxa"/>
            <w:tcBorders>
              <w:top w:val="single" w:sz="4" w:space="0" w:color="auto"/>
              <w:left w:val="nil"/>
              <w:bottom w:val="single" w:sz="4" w:space="0" w:color="auto"/>
              <w:right w:val="single" w:sz="4" w:space="0" w:color="auto"/>
            </w:tcBorders>
            <w:shd w:val="clear" w:color="000000" w:fill="C6EFCE"/>
            <w:tcMar>
              <w:top w:w="17" w:type="dxa"/>
              <w:left w:w="17" w:type="dxa"/>
              <w:bottom w:w="0" w:type="dxa"/>
              <w:right w:w="17" w:type="dxa"/>
            </w:tcMar>
            <w:vAlign w:val="center"/>
            <w:hideMark/>
          </w:tcPr>
          <w:p w:rsidR="008433F6" w:rsidRPr="00E50121" w:rsidRDefault="008433F6" w:rsidP="00B554CA">
            <w:pPr>
              <w:pStyle w:val="Nzev"/>
              <w:jc w:val="center"/>
            </w:pPr>
            <w:r w:rsidRPr="00E50121">
              <w:t>84,2%</w:t>
            </w:r>
          </w:p>
        </w:tc>
        <w:tc>
          <w:tcPr>
            <w:tcW w:w="851" w:type="dxa"/>
            <w:tcBorders>
              <w:top w:val="nil"/>
              <w:left w:val="nil"/>
              <w:bottom w:val="single" w:sz="4" w:space="0" w:color="auto"/>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10,5%</w:t>
            </w:r>
          </w:p>
        </w:tc>
        <w:tc>
          <w:tcPr>
            <w:tcW w:w="850" w:type="dxa"/>
            <w:tcBorders>
              <w:top w:val="single" w:sz="4" w:space="0" w:color="auto"/>
              <w:left w:val="nil"/>
              <w:bottom w:val="single" w:sz="4" w:space="0" w:color="auto"/>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1,89</w:t>
            </w:r>
          </w:p>
        </w:tc>
        <w:tc>
          <w:tcPr>
            <w:tcW w:w="567" w:type="dxa"/>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1,80</w:t>
            </w:r>
          </w:p>
        </w:tc>
        <w:tc>
          <w:tcPr>
            <w:tcW w:w="567" w:type="dxa"/>
            <w:tcBorders>
              <w:top w:val="single" w:sz="4" w:space="0" w:color="auto"/>
              <w:left w:val="nil"/>
              <w:bottom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1,76</w:t>
            </w:r>
          </w:p>
        </w:tc>
      </w:tr>
      <w:tr w:rsidR="00A341C5" w:rsidRPr="00E50121" w:rsidTr="00DF4192">
        <w:trPr>
          <w:trHeight w:val="227"/>
        </w:trPr>
        <w:tc>
          <w:tcPr>
            <w:tcW w:w="5262" w:type="dxa"/>
            <w:tcBorders>
              <w:top w:val="nil"/>
              <w:right w:val="single" w:sz="4" w:space="0" w:color="auto"/>
            </w:tcBorders>
            <w:shd w:val="clear" w:color="auto" w:fill="auto"/>
            <w:tcMar>
              <w:top w:w="17" w:type="dxa"/>
              <w:left w:w="151" w:type="dxa"/>
              <w:bottom w:w="0" w:type="dxa"/>
              <w:right w:w="17" w:type="dxa"/>
            </w:tcMar>
            <w:vAlign w:val="center"/>
            <w:hideMark/>
          </w:tcPr>
          <w:p w:rsidR="008433F6" w:rsidRPr="00E50121" w:rsidRDefault="008433F6" w:rsidP="00B554CA">
            <w:pPr>
              <w:pStyle w:val="Nzev"/>
              <w:ind w:left="-134"/>
              <w:jc w:val="left"/>
            </w:pPr>
            <w:r w:rsidRPr="00E50121">
              <w:t xml:space="preserve">Ve škole je v rámci </w:t>
            </w:r>
            <w:proofErr w:type="spellStart"/>
            <w:r w:rsidRPr="00E50121">
              <w:t>vzděl</w:t>
            </w:r>
            <w:proofErr w:type="spellEnd"/>
            <w:r w:rsidR="00A341C5" w:rsidRPr="00E50121">
              <w:t>.</w:t>
            </w:r>
            <w:r w:rsidRPr="00E50121">
              <w:t xml:space="preserve"> procesu nastaveno bezpečné prostředí pro rozvoj kreativity, iniciativy a názorů žáků</w:t>
            </w:r>
          </w:p>
        </w:tc>
        <w:tc>
          <w:tcPr>
            <w:tcW w:w="992" w:type="dxa"/>
            <w:tcBorders>
              <w:top w:val="nil"/>
              <w:left w:val="nil"/>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63,2%</w:t>
            </w:r>
          </w:p>
        </w:tc>
        <w:tc>
          <w:tcPr>
            <w:tcW w:w="851" w:type="dxa"/>
            <w:tcBorders>
              <w:top w:val="nil"/>
              <w:left w:val="nil"/>
              <w:right w:val="single" w:sz="4" w:space="0" w:color="auto"/>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15,8%</w:t>
            </w:r>
          </w:p>
        </w:tc>
        <w:tc>
          <w:tcPr>
            <w:tcW w:w="850" w:type="dxa"/>
            <w:tcBorders>
              <w:top w:val="single" w:sz="4" w:space="0" w:color="auto"/>
              <w:left w:val="nil"/>
              <w:righ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2,95</w:t>
            </w:r>
          </w:p>
        </w:tc>
        <w:tc>
          <w:tcPr>
            <w:tcW w:w="567" w:type="dxa"/>
            <w:tcBorders>
              <w:top w:val="single" w:sz="4" w:space="0" w:color="auto"/>
              <w:left w:val="single" w:sz="4" w:space="0" w:color="auto"/>
              <w:right w:val="single" w:sz="4" w:space="0" w:color="000000"/>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2,84</w:t>
            </w:r>
          </w:p>
        </w:tc>
        <w:tc>
          <w:tcPr>
            <w:tcW w:w="567" w:type="dxa"/>
            <w:tcBorders>
              <w:top w:val="single" w:sz="4" w:space="0" w:color="auto"/>
              <w:left w:val="nil"/>
            </w:tcBorders>
            <w:shd w:val="clear" w:color="000000" w:fill="FFFFFF"/>
            <w:tcMar>
              <w:top w:w="17" w:type="dxa"/>
              <w:left w:w="17" w:type="dxa"/>
              <w:bottom w:w="0" w:type="dxa"/>
              <w:right w:w="17" w:type="dxa"/>
            </w:tcMar>
            <w:vAlign w:val="center"/>
            <w:hideMark/>
          </w:tcPr>
          <w:p w:rsidR="008433F6" w:rsidRPr="00E50121" w:rsidRDefault="008433F6" w:rsidP="00B554CA">
            <w:pPr>
              <w:pStyle w:val="Nzev"/>
              <w:jc w:val="center"/>
            </w:pPr>
            <w:r w:rsidRPr="00E50121">
              <w:t>2,77</w:t>
            </w:r>
          </w:p>
        </w:tc>
      </w:tr>
    </w:tbl>
    <w:p w:rsidR="00F370C3" w:rsidRPr="007C3AAD" w:rsidRDefault="00E50121" w:rsidP="008433F6">
      <w:pPr>
        <w:pStyle w:val="Bezmezer"/>
        <w:rPr>
          <w:lang w:eastAsia="cs-CZ"/>
        </w:rPr>
      </w:pPr>
      <w:r w:rsidRPr="00E50121">
        <w:rPr>
          <w:lang w:eastAsia="cs-CZ"/>
        </w:rPr>
        <w:t>Aktuální stav témat v této oblasti</w:t>
      </w:r>
      <w:r>
        <w:rPr>
          <w:lang w:eastAsia="cs-CZ"/>
        </w:rPr>
        <w:t xml:space="preserve"> drží oproti předešlým oblastem jed</w:t>
      </w:r>
      <w:r w:rsidR="005B4D5A">
        <w:rPr>
          <w:lang w:eastAsia="cs-CZ"/>
        </w:rPr>
        <w:t>en primát</w:t>
      </w:r>
      <w:r>
        <w:rPr>
          <w:lang w:eastAsia="cs-CZ"/>
        </w:rPr>
        <w:t xml:space="preserve"> a to absenci byť jediné průměrné hodnoty nižší než je průměr kraje nebo Česka.</w:t>
      </w:r>
      <w:r w:rsidR="00816421">
        <w:rPr>
          <w:lang w:eastAsia="cs-CZ"/>
        </w:rPr>
        <w:t xml:space="preserve"> </w:t>
      </w:r>
      <w:r w:rsidR="005B4D5A">
        <w:rPr>
          <w:lang w:eastAsia="cs-CZ"/>
        </w:rPr>
        <w:t xml:space="preserve">Vzhledem k relativitě hodnocení týkající se jiné úrovně jak prostorově, tak funkčně, se však jedná spíše o </w:t>
      </w:r>
      <w:r w:rsidR="005B4D5A">
        <w:rPr>
          <w:lang w:eastAsia="cs-CZ"/>
        </w:rPr>
        <w:lastRenderedPageBreak/>
        <w:t xml:space="preserve">zajímavost. Jinak v tomto případě do velké míry platí logická úměra, že nejvyšší hodnocení </w:t>
      </w:r>
      <w:r w:rsidR="005B4D5A" w:rsidRPr="007C3AAD">
        <w:rPr>
          <w:lang w:eastAsia="cs-CZ"/>
        </w:rPr>
        <w:t>mají témata, která nejsou školami upřednostňována v prvních dvou sloupcích.</w:t>
      </w:r>
    </w:p>
    <w:p w:rsidR="008433F6" w:rsidRPr="007C3AAD" w:rsidRDefault="007C3AAD" w:rsidP="008433F6">
      <w:pPr>
        <w:pStyle w:val="Bezmezer"/>
        <w:rPr>
          <w:lang w:eastAsia="cs-CZ"/>
        </w:rPr>
      </w:pPr>
      <w:r w:rsidRPr="007C3AAD">
        <w:rPr>
          <w:lang w:eastAsia="cs-CZ"/>
        </w:rPr>
        <w:t>Doplňme ještě informace týkající se procentuálního podílu škol narážejících na daný problém</w:t>
      </w:r>
      <w:r w:rsidR="008433F6" w:rsidRPr="007C3AAD">
        <w:rPr>
          <w:lang w:eastAsia="cs-CZ"/>
        </w:rPr>
        <w:t xml:space="preserve">: </w:t>
      </w:r>
    </w:p>
    <w:p w:rsidR="008433F6" w:rsidRPr="007C3AAD" w:rsidRDefault="00E161A4" w:rsidP="008433F6">
      <w:pPr>
        <w:pStyle w:val="Nzev"/>
        <w:numPr>
          <w:ilvl w:val="0"/>
          <w:numId w:val="33"/>
        </w:numPr>
        <w:rPr>
          <w:rFonts w:eastAsia="Times New Roman"/>
          <w:lang w:eastAsia="cs-CZ"/>
        </w:rPr>
      </w:pPr>
      <w:r w:rsidRPr="00E161A4">
        <w:rPr>
          <w:rFonts w:eastAsia="Times New Roman"/>
          <w:lang w:eastAsia="cs-CZ"/>
        </w:rPr>
        <w:t>Nedostatek finančních prostředků pro realizaci vzdělávání mimo vlastní výuku</w:t>
      </w:r>
      <w:r w:rsidR="008433F6" w:rsidRPr="007C3AAD">
        <w:rPr>
          <w:rFonts w:eastAsia="Times New Roman"/>
          <w:lang w:eastAsia="cs-CZ"/>
        </w:rPr>
        <w:t xml:space="preserve"> (</w:t>
      </w:r>
      <w:r>
        <w:rPr>
          <w:rFonts w:eastAsia="Times New Roman"/>
          <w:lang w:eastAsia="cs-CZ"/>
        </w:rPr>
        <w:t>84</w:t>
      </w:r>
      <w:r w:rsidR="008433F6" w:rsidRPr="007C3AAD">
        <w:rPr>
          <w:rFonts w:eastAsia="Times New Roman"/>
          <w:lang w:eastAsia="cs-CZ"/>
        </w:rPr>
        <w:t>,</w:t>
      </w:r>
      <w:r>
        <w:rPr>
          <w:rFonts w:eastAsia="Times New Roman"/>
          <w:lang w:eastAsia="cs-CZ"/>
        </w:rPr>
        <w:t>2</w:t>
      </w:r>
      <w:r w:rsidR="008433F6" w:rsidRPr="007C3AAD">
        <w:rPr>
          <w:rFonts w:eastAsia="Times New Roman"/>
          <w:lang w:eastAsia="cs-CZ"/>
        </w:rPr>
        <w:t xml:space="preserve"> %)</w:t>
      </w:r>
    </w:p>
    <w:p w:rsidR="008433F6" w:rsidRPr="007C3AAD" w:rsidRDefault="00E161A4" w:rsidP="008433F6">
      <w:pPr>
        <w:pStyle w:val="Nzev"/>
        <w:numPr>
          <w:ilvl w:val="0"/>
          <w:numId w:val="33"/>
        </w:numPr>
        <w:rPr>
          <w:rFonts w:eastAsia="Times New Roman"/>
          <w:lang w:eastAsia="cs-CZ"/>
        </w:rPr>
      </w:pPr>
      <w:r w:rsidRPr="00E161A4">
        <w:rPr>
          <w:rFonts w:eastAsia="Times New Roman"/>
          <w:lang w:eastAsia="cs-CZ"/>
        </w:rPr>
        <w:t>Malý zájem zaměstnavatelů a podnikatelů o spolupráci se školami</w:t>
      </w:r>
      <w:r w:rsidR="008433F6" w:rsidRPr="007C3AAD">
        <w:rPr>
          <w:rFonts w:eastAsia="Times New Roman"/>
          <w:lang w:eastAsia="cs-CZ"/>
        </w:rPr>
        <w:t xml:space="preserve"> (63,2 %)</w:t>
      </w:r>
    </w:p>
    <w:p w:rsidR="00E161A4" w:rsidRPr="007C3AAD" w:rsidRDefault="00E161A4" w:rsidP="00E161A4">
      <w:pPr>
        <w:pStyle w:val="Nzev"/>
        <w:numPr>
          <w:ilvl w:val="0"/>
          <w:numId w:val="33"/>
        </w:numPr>
        <w:rPr>
          <w:rFonts w:eastAsia="Times New Roman"/>
          <w:lang w:eastAsia="cs-CZ"/>
        </w:rPr>
      </w:pPr>
      <w:r w:rsidRPr="00E161A4">
        <w:rPr>
          <w:rFonts w:eastAsia="Times New Roman"/>
          <w:lang w:eastAsia="cs-CZ"/>
        </w:rPr>
        <w:t>Nedostatek příležitostí ke vzdělávání pedagogických pracovníků v oblasti podnikavosti, iniciativy a kreativity</w:t>
      </w:r>
      <w:r w:rsidRPr="007C3AAD">
        <w:rPr>
          <w:rFonts w:eastAsia="Times New Roman"/>
          <w:lang w:eastAsia="cs-CZ"/>
        </w:rPr>
        <w:t xml:space="preserve"> (52,6 %)</w:t>
      </w:r>
    </w:p>
    <w:p w:rsidR="00E161A4" w:rsidRPr="007C3AAD" w:rsidRDefault="00E161A4" w:rsidP="00E161A4">
      <w:pPr>
        <w:pStyle w:val="Nzev"/>
        <w:numPr>
          <w:ilvl w:val="0"/>
          <w:numId w:val="33"/>
        </w:numPr>
        <w:rPr>
          <w:rFonts w:eastAsia="Times New Roman"/>
          <w:lang w:eastAsia="cs-CZ"/>
        </w:rPr>
      </w:pPr>
      <w:r w:rsidRPr="00E161A4">
        <w:rPr>
          <w:rFonts w:eastAsia="Times New Roman"/>
          <w:lang w:eastAsia="cs-CZ"/>
        </w:rPr>
        <w:t>Nedostatek výukových materiálů, pomůcek a metodik v oblasti podnikavosti, iniciativy a kreativity</w:t>
      </w:r>
      <w:r w:rsidRPr="007C3AAD">
        <w:rPr>
          <w:rFonts w:eastAsia="Times New Roman"/>
          <w:lang w:eastAsia="cs-CZ"/>
        </w:rPr>
        <w:t xml:space="preserve"> (52,6 %)</w:t>
      </w:r>
    </w:p>
    <w:p w:rsidR="009F693B" w:rsidRPr="009F693B" w:rsidRDefault="008433F6" w:rsidP="008433F6">
      <w:pPr>
        <w:pStyle w:val="Bezmezer"/>
        <w:rPr>
          <w:lang w:eastAsia="cs-CZ"/>
        </w:rPr>
      </w:pPr>
      <w:r w:rsidRPr="009F693B">
        <w:rPr>
          <w:lang w:eastAsia="cs-CZ"/>
        </w:rPr>
        <w:t xml:space="preserve">První </w:t>
      </w:r>
      <w:r w:rsidR="009F693B" w:rsidRPr="009F693B">
        <w:rPr>
          <w:lang w:eastAsia="cs-CZ"/>
        </w:rPr>
        <w:t xml:space="preserve">odrážka zmiňuje </w:t>
      </w:r>
      <w:r w:rsidR="009F693B" w:rsidRPr="00DB5AA1">
        <w:rPr>
          <w:b/>
          <w:lang w:eastAsia="cs-CZ"/>
        </w:rPr>
        <w:t>nedostatek financí</w:t>
      </w:r>
      <w:r w:rsidR="009F693B" w:rsidRPr="009F693B">
        <w:rPr>
          <w:lang w:eastAsia="cs-CZ"/>
        </w:rPr>
        <w:t xml:space="preserve">, což je </w:t>
      </w:r>
      <w:r w:rsidR="009F693B" w:rsidRPr="00DB5AA1">
        <w:rPr>
          <w:b/>
          <w:lang w:eastAsia="cs-CZ"/>
        </w:rPr>
        <w:t>téma č. 1 celé analýzy</w:t>
      </w:r>
      <w:r w:rsidR="009F693B" w:rsidRPr="009F693B">
        <w:rPr>
          <w:lang w:eastAsia="cs-CZ"/>
        </w:rPr>
        <w:t>. Vzhledem ke specifiku analyzované oblasti jsou však další body v tuto chvíli zajímavější.</w:t>
      </w:r>
      <w:r w:rsidR="009F693B">
        <w:rPr>
          <w:lang w:eastAsia="cs-CZ"/>
        </w:rPr>
        <w:t xml:space="preserve"> Druhé nejvyšší hodnoty dosahuje </w:t>
      </w:r>
      <w:r w:rsidR="009F693B" w:rsidRPr="00DB5AA1">
        <w:rPr>
          <w:b/>
          <w:lang w:eastAsia="cs-CZ"/>
        </w:rPr>
        <w:t>nezájem externích firem o spolupráci</w:t>
      </w:r>
      <w:r w:rsidR="009F693B">
        <w:rPr>
          <w:lang w:eastAsia="cs-CZ"/>
        </w:rPr>
        <w:t xml:space="preserve">. Jedná se o rovněž o jednu z důležitých oblastí pro další diskuzi, </w:t>
      </w:r>
      <w:r w:rsidR="009F693B" w:rsidRPr="00DB5AA1">
        <w:rPr>
          <w:b/>
          <w:lang w:eastAsia="cs-CZ"/>
        </w:rPr>
        <w:t>komunikace a kooperace škol s „vnějšími“ institucemi</w:t>
      </w:r>
      <w:r w:rsidR="009F693B">
        <w:rPr>
          <w:lang w:eastAsia="cs-CZ"/>
        </w:rPr>
        <w:t xml:space="preserve">, firmami počínaje a neziskovými organizacemi konče. Poslední dva body se týkají nedostatku podpůrných podkladů, které v tomto případě nemusí plynout ani tak z materiálního nedostatku jako spíše z čerstvosti celého tématu a tedy prostého </w:t>
      </w:r>
      <w:r w:rsidR="009F693B" w:rsidRPr="00DB5AA1">
        <w:rPr>
          <w:b/>
          <w:lang w:eastAsia="cs-CZ"/>
        </w:rPr>
        <w:t xml:space="preserve">nedostatku kvalitních </w:t>
      </w:r>
      <w:r w:rsidR="001E393F" w:rsidRPr="00DB5AA1">
        <w:rPr>
          <w:b/>
          <w:lang w:eastAsia="cs-CZ"/>
        </w:rPr>
        <w:t>zdrojů</w:t>
      </w:r>
      <w:r w:rsidR="009F693B">
        <w:rPr>
          <w:lang w:eastAsia="cs-CZ"/>
        </w:rPr>
        <w:t>.</w:t>
      </w:r>
      <w:r w:rsidR="00DB5AA1">
        <w:rPr>
          <w:lang w:eastAsia="cs-CZ"/>
        </w:rPr>
        <w:t xml:space="preserve"> </w:t>
      </w:r>
    </w:p>
    <w:p w:rsidR="009D1458" w:rsidRPr="009F693B" w:rsidRDefault="009D1458" w:rsidP="009D1458">
      <w:pPr>
        <w:pStyle w:val="Bezmezer"/>
        <w:rPr>
          <w:u w:val="single"/>
        </w:rPr>
      </w:pPr>
      <w:r w:rsidRPr="009F693B">
        <w:rPr>
          <w:u w:val="single"/>
        </w:rPr>
        <w:t>Podpora polytechnického vzdělávání</w:t>
      </w:r>
    </w:p>
    <w:p w:rsidR="00042BC8" w:rsidRPr="00AB09BD" w:rsidRDefault="00042BC8" w:rsidP="00042BC8">
      <w:pPr>
        <w:pStyle w:val="Bezmezer"/>
      </w:pPr>
      <w:r w:rsidRPr="00596AB1">
        <w:t>ZŠ</w:t>
      </w:r>
      <w:r w:rsidR="00596AB1" w:rsidRPr="00596AB1">
        <w:t xml:space="preserve"> v této oblasti hodnotily</w:t>
      </w:r>
      <w:r w:rsidRPr="00596AB1">
        <w:t xml:space="preserve"> dvacet modelových situací</w:t>
      </w:r>
      <w:r w:rsidR="00596AB1">
        <w:t>.</w:t>
      </w:r>
      <w:r w:rsidRPr="00596AB1">
        <w:t xml:space="preserve"> </w:t>
      </w:r>
      <w:r w:rsidR="00596AB1">
        <w:t>J</w:t>
      </w:r>
      <w:r w:rsidRPr="00596AB1">
        <w:t xml:space="preserve">ejich prioritu v nadcházejících letech v rámci chodu školy a rovněž jejich </w:t>
      </w:r>
      <w:r w:rsidRPr="00AB09BD">
        <w:t>současnou situaci. Podíváme</w:t>
      </w:r>
      <w:r w:rsidR="00AB09BD" w:rsidRPr="00AB09BD">
        <w:t>-li se blíže</w:t>
      </w:r>
      <w:r w:rsidRPr="00AB09BD">
        <w:t xml:space="preserve"> na nejčastěji zmiňovaná témata, která by školy v letech 2016 až 2018 rády zlepšily, </w:t>
      </w:r>
      <w:r w:rsidR="00AB09BD">
        <w:t xml:space="preserve">lze </w:t>
      </w:r>
      <w:r w:rsidRPr="00AB09BD">
        <w:t>je</w:t>
      </w:r>
      <w:r w:rsidR="00AB09BD">
        <w:t xml:space="preserve"> shrnout do hesel </w:t>
      </w:r>
      <w:r w:rsidR="00AB09BD" w:rsidRPr="00AB09BD">
        <w:rPr>
          <w:b/>
        </w:rPr>
        <w:t>dovzdělávání a kooperace učitelů</w:t>
      </w:r>
      <w:r w:rsidR="00AB09BD">
        <w:rPr>
          <w:b/>
        </w:rPr>
        <w:t xml:space="preserve">, praxe </w:t>
      </w:r>
      <w:r w:rsidR="00AB09BD" w:rsidRPr="00AB09BD">
        <w:t>a</w:t>
      </w:r>
      <w:r w:rsidR="00AB09BD">
        <w:rPr>
          <w:b/>
        </w:rPr>
        <w:t xml:space="preserve"> spolupráce s externími </w:t>
      </w:r>
      <w:r w:rsidR="003F455A">
        <w:rPr>
          <w:b/>
        </w:rPr>
        <w:t>firmam</w:t>
      </w:r>
      <w:r w:rsidR="008F5574">
        <w:rPr>
          <w:b/>
        </w:rPr>
        <w:t>i</w:t>
      </w:r>
      <w:r w:rsidRPr="00AB09BD">
        <w:t>:</w:t>
      </w:r>
    </w:p>
    <w:p w:rsidR="00B77110" w:rsidRPr="00B77110" w:rsidRDefault="00B77110" w:rsidP="00B77110">
      <w:pPr>
        <w:pStyle w:val="Nzev"/>
        <w:numPr>
          <w:ilvl w:val="0"/>
          <w:numId w:val="32"/>
        </w:numPr>
        <w:rPr>
          <w:rFonts w:eastAsia="Times New Roman"/>
          <w:lang w:eastAsia="cs-CZ"/>
        </w:rPr>
      </w:pPr>
      <w:r w:rsidRPr="00042BC8">
        <w:rPr>
          <w:rFonts w:ascii="Calibri" w:eastAsia="Times New Roman" w:hAnsi="Calibri" w:cs="Times New Roman"/>
          <w:sz w:val="20"/>
          <w:szCs w:val="20"/>
          <w:lang w:eastAsia="cs-CZ"/>
        </w:rPr>
        <w:t>Příslušní učitelé rozvíjejí své znalosti v oblasti polytechnického vzdělávání a využívají je ve výuce (kurzy dalšího vzdělávání, studium literatury aj.)</w:t>
      </w:r>
      <w:r w:rsidRPr="00B77110">
        <w:rPr>
          <w:rFonts w:eastAsia="Times New Roman"/>
          <w:lang w:eastAsia="cs-CZ"/>
        </w:rPr>
        <w:t xml:space="preserve"> (84,2 %)</w:t>
      </w:r>
    </w:p>
    <w:p w:rsidR="00B77110" w:rsidRPr="00B77110" w:rsidRDefault="00B77110" w:rsidP="00B77110">
      <w:pPr>
        <w:pStyle w:val="Nzev"/>
        <w:numPr>
          <w:ilvl w:val="0"/>
          <w:numId w:val="32"/>
        </w:numPr>
        <w:rPr>
          <w:rFonts w:eastAsia="Times New Roman"/>
          <w:lang w:eastAsia="cs-CZ"/>
        </w:rPr>
      </w:pPr>
      <w:r w:rsidRPr="00042BC8">
        <w:rPr>
          <w:rFonts w:ascii="Calibri" w:eastAsia="Times New Roman" w:hAnsi="Calibri" w:cs="Times New Roman"/>
          <w:sz w:val="20"/>
          <w:szCs w:val="20"/>
          <w:lang w:eastAsia="cs-CZ"/>
        </w:rPr>
        <w:t xml:space="preserve">Škola podporuje </w:t>
      </w:r>
      <w:r w:rsidR="00717D2A" w:rsidRPr="00042BC8">
        <w:rPr>
          <w:rFonts w:ascii="Calibri" w:eastAsia="Times New Roman" w:hAnsi="Calibri" w:cs="Times New Roman"/>
          <w:sz w:val="20"/>
          <w:szCs w:val="20"/>
          <w:lang w:eastAsia="cs-CZ"/>
        </w:rPr>
        <w:t>z</w:t>
      </w:r>
      <w:r w:rsidR="00717D2A" w:rsidRPr="00B77110">
        <w:rPr>
          <w:rFonts w:ascii="Calibri" w:eastAsia="Times New Roman" w:hAnsi="Calibri" w:cs="Times New Roman"/>
          <w:sz w:val="20"/>
          <w:szCs w:val="20"/>
          <w:lang w:eastAsia="cs-CZ"/>
        </w:rPr>
        <w:t xml:space="preserve">ájem žáků o oblast </w:t>
      </w:r>
      <w:proofErr w:type="spellStart"/>
      <w:r w:rsidR="00717D2A" w:rsidRPr="00B77110">
        <w:rPr>
          <w:rFonts w:ascii="Calibri" w:eastAsia="Times New Roman" w:hAnsi="Calibri" w:cs="Times New Roman"/>
          <w:sz w:val="20"/>
          <w:szCs w:val="20"/>
          <w:lang w:eastAsia="cs-CZ"/>
        </w:rPr>
        <w:t>polytech</w:t>
      </w:r>
      <w:proofErr w:type="spellEnd"/>
      <w:r w:rsidRPr="00B77110">
        <w:rPr>
          <w:rFonts w:ascii="Calibri" w:eastAsia="Times New Roman" w:hAnsi="Calibri" w:cs="Times New Roman"/>
          <w:caps/>
          <w:sz w:val="20"/>
          <w:szCs w:val="20"/>
          <w:lang w:eastAsia="cs-CZ"/>
        </w:rPr>
        <w:t xml:space="preserve">. </w:t>
      </w:r>
      <w:r w:rsidRPr="00042BC8">
        <w:rPr>
          <w:rFonts w:ascii="Calibri" w:eastAsia="Times New Roman" w:hAnsi="Calibri" w:cs="Times New Roman"/>
          <w:sz w:val="20"/>
          <w:szCs w:val="20"/>
          <w:lang w:eastAsia="cs-CZ"/>
        </w:rPr>
        <w:t>propojením znalostí s každodenním životem a budoucí profesí</w:t>
      </w:r>
      <w:r w:rsidRPr="00B77110">
        <w:rPr>
          <w:rFonts w:eastAsia="Times New Roman"/>
          <w:lang w:eastAsia="cs-CZ"/>
        </w:rPr>
        <w:t xml:space="preserve"> (84,2 %)</w:t>
      </w:r>
    </w:p>
    <w:p w:rsidR="00042BC8" w:rsidRPr="00B77110" w:rsidRDefault="00B77110" w:rsidP="00042BC8">
      <w:pPr>
        <w:pStyle w:val="Nzev"/>
        <w:numPr>
          <w:ilvl w:val="0"/>
          <w:numId w:val="32"/>
        </w:numPr>
        <w:rPr>
          <w:rFonts w:eastAsia="Times New Roman"/>
          <w:lang w:eastAsia="cs-CZ"/>
        </w:rPr>
      </w:pPr>
      <w:r w:rsidRPr="00042BC8">
        <w:rPr>
          <w:rFonts w:ascii="Calibri" w:eastAsia="Times New Roman" w:hAnsi="Calibri" w:cs="Times New Roman"/>
          <w:sz w:val="20"/>
          <w:szCs w:val="20"/>
          <w:lang w:eastAsia="cs-CZ"/>
        </w:rPr>
        <w:t>Škola spolupracuje s místními firmami/podnikateli</w:t>
      </w:r>
      <w:r w:rsidRPr="00B77110">
        <w:rPr>
          <w:rFonts w:eastAsia="Times New Roman"/>
          <w:lang w:eastAsia="cs-CZ"/>
        </w:rPr>
        <w:t xml:space="preserve"> </w:t>
      </w:r>
      <w:r w:rsidR="00042BC8" w:rsidRPr="00B77110">
        <w:rPr>
          <w:rFonts w:eastAsia="Times New Roman"/>
          <w:lang w:eastAsia="cs-CZ"/>
        </w:rPr>
        <w:t>(</w:t>
      </w:r>
      <w:r w:rsidRPr="00B77110">
        <w:rPr>
          <w:rFonts w:eastAsia="Times New Roman"/>
          <w:lang w:eastAsia="cs-CZ"/>
        </w:rPr>
        <w:t>84</w:t>
      </w:r>
      <w:r w:rsidR="00042BC8" w:rsidRPr="00B77110">
        <w:rPr>
          <w:rFonts w:eastAsia="Times New Roman"/>
          <w:lang w:eastAsia="cs-CZ"/>
        </w:rPr>
        <w:t>,</w:t>
      </w:r>
      <w:r w:rsidRPr="00B77110">
        <w:rPr>
          <w:rFonts w:eastAsia="Times New Roman"/>
          <w:lang w:eastAsia="cs-CZ"/>
        </w:rPr>
        <w:t>2</w:t>
      </w:r>
      <w:r w:rsidR="00042BC8" w:rsidRPr="00B77110">
        <w:rPr>
          <w:rFonts w:eastAsia="Times New Roman"/>
          <w:lang w:eastAsia="cs-CZ"/>
        </w:rPr>
        <w:t xml:space="preserve"> %)</w:t>
      </w:r>
    </w:p>
    <w:p w:rsidR="00042BC8" w:rsidRPr="00717D2A" w:rsidRDefault="00717D2A" w:rsidP="00042BC8">
      <w:pPr>
        <w:pStyle w:val="Nzev"/>
        <w:numPr>
          <w:ilvl w:val="0"/>
          <w:numId w:val="32"/>
        </w:numPr>
        <w:rPr>
          <w:rFonts w:eastAsia="Times New Roman"/>
          <w:lang w:eastAsia="cs-CZ"/>
        </w:rPr>
      </w:pPr>
      <w:r w:rsidRPr="00042BC8">
        <w:rPr>
          <w:rFonts w:ascii="Calibri" w:eastAsia="Times New Roman" w:hAnsi="Calibri" w:cs="Times New Roman"/>
          <w:sz w:val="20"/>
          <w:szCs w:val="20"/>
          <w:lang w:eastAsia="cs-CZ"/>
        </w:rPr>
        <w:t>Učitelé 1. i 2. stupně využívají poznatky v praxi a sdílejí dobrou praxi v oblasti rozvoje polytechnického vzdělávání mezi sebou i s učiteli z jiných škol</w:t>
      </w:r>
      <w:r w:rsidR="00042BC8" w:rsidRPr="00717D2A">
        <w:rPr>
          <w:rFonts w:eastAsia="Times New Roman"/>
          <w:lang w:eastAsia="cs-CZ"/>
        </w:rPr>
        <w:t xml:space="preserve"> (78,9 %)</w:t>
      </w:r>
    </w:p>
    <w:p w:rsidR="00042BC8" w:rsidRPr="00546529" w:rsidRDefault="00546529" w:rsidP="00042BC8">
      <w:pPr>
        <w:pStyle w:val="Bezmezer"/>
        <w:rPr>
          <w:lang w:eastAsia="cs-CZ"/>
        </w:rPr>
      </w:pPr>
      <w:r w:rsidRPr="00546529">
        <w:rPr>
          <w:b/>
          <w:lang w:eastAsia="cs-CZ"/>
        </w:rPr>
        <w:t>Nejmenší zájem</w:t>
      </w:r>
      <w:r w:rsidRPr="00546529">
        <w:rPr>
          <w:lang w:eastAsia="cs-CZ"/>
        </w:rPr>
        <w:t xml:space="preserve"> je o </w:t>
      </w:r>
      <w:r w:rsidRPr="00546529">
        <w:rPr>
          <w:b/>
          <w:lang w:eastAsia="cs-CZ"/>
        </w:rPr>
        <w:t>spolupráci s odbornými pracovišti</w:t>
      </w:r>
      <w:r w:rsidR="00042BC8" w:rsidRPr="00546529">
        <w:rPr>
          <w:lang w:eastAsia="cs-CZ"/>
        </w:rPr>
        <w:t xml:space="preserve"> </w:t>
      </w:r>
      <w:r w:rsidRPr="00546529">
        <w:rPr>
          <w:lang w:eastAsia="cs-CZ"/>
        </w:rPr>
        <w:t xml:space="preserve">a </w:t>
      </w:r>
      <w:r w:rsidRPr="003F455A">
        <w:rPr>
          <w:b/>
          <w:lang w:eastAsia="cs-CZ"/>
        </w:rPr>
        <w:t>vý</w:t>
      </w:r>
      <w:r w:rsidRPr="00546529">
        <w:rPr>
          <w:b/>
          <w:lang w:eastAsia="cs-CZ"/>
        </w:rPr>
        <w:t>uka konkrétních odborných předmětů v cizím jazyce</w:t>
      </w:r>
      <w:r w:rsidRPr="00546529">
        <w:rPr>
          <w:lang w:eastAsia="cs-CZ"/>
        </w:rPr>
        <w:t>. Uvážíme-li, že se stále bavíme</w:t>
      </w:r>
      <w:r>
        <w:rPr>
          <w:lang w:eastAsia="cs-CZ"/>
        </w:rPr>
        <w:t xml:space="preserve"> o</w:t>
      </w:r>
      <w:r w:rsidRPr="00546529">
        <w:rPr>
          <w:lang w:eastAsia="cs-CZ"/>
        </w:rPr>
        <w:t xml:space="preserve"> základním vzdělávání, dá se </w:t>
      </w:r>
      <w:proofErr w:type="spellStart"/>
      <w:r w:rsidRPr="00546529">
        <w:rPr>
          <w:lang w:eastAsia="cs-CZ"/>
        </w:rPr>
        <w:t>se</w:t>
      </w:r>
      <w:proofErr w:type="spellEnd"/>
      <w:r w:rsidRPr="00546529">
        <w:rPr>
          <w:lang w:eastAsia="cs-CZ"/>
        </w:rPr>
        <w:t xml:space="preserve"> školami souhlasit, že takováto témata se patří </w:t>
      </w:r>
      <w:r w:rsidR="00B372E6">
        <w:rPr>
          <w:lang w:eastAsia="cs-CZ"/>
        </w:rPr>
        <w:t xml:space="preserve">hlouběji </w:t>
      </w:r>
      <w:r w:rsidRPr="0075365D">
        <w:rPr>
          <w:b/>
          <w:lang w:eastAsia="cs-CZ"/>
        </w:rPr>
        <w:t>rozvíjet</w:t>
      </w:r>
      <w:r w:rsidRPr="00212D9F">
        <w:rPr>
          <w:b/>
          <w:lang w:eastAsia="cs-CZ"/>
        </w:rPr>
        <w:t xml:space="preserve"> spíše až na dalších vzdělávacích stupních</w:t>
      </w:r>
      <w:r w:rsidRPr="00546529">
        <w:rPr>
          <w:lang w:eastAsia="cs-CZ"/>
        </w:rPr>
        <w:t>. Tomu budou dále odpovídat i průměrná hodnocení aktuálního stavu, kdy právě výuka vybraných témat polytechnických p</w:t>
      </w:r>
      <w:r w:rsidRPr="00546529">
        <w:rPr>
          <w:rFonts w:hint="eastAsia"/>
          <w:lang w:eastAsia="cs-CZ"/>
        </w:rPr>
        <w:t>ř</w:t>
      </w:r>
      <w:r w:rsidRPr="00546529">
        <w:rPr>
          <w:lang w:eastAsia="cs-CZ"/>
        </w:rPr>
        <w:t>edm</w:t>
      </w:r>
      <w:r w:rsidRPr="00546529">
        <w:rPr>
          <w:rFonts w:hint="eastAsia"/>
          <w:lang w:eastAsia="cs-CZ"/>
        </w:rPr>
        <w:t>ě</w:t>
      </w:r>
      <w:r w:rsidRPr="00546529">
        <w:rPr>
          <w:lang w:eastAsia="cs-CZ"/>
        </w:rPr>
        <w:t>t</w:t>
      </w:r>
      <w:r w:rsidRPr="00546529">
        <w:rPr>
          <w:rFonts w:hint="eastAsia"/>
          <w:lang w:eastAsia="cs-CZ"/>
        </w:rPr>
        <w:t>ů</w:t>
      </w:r>
      <w:r w:rsidRPr="00546529">
        <w:rPr>
          <w:lang w:eastAsia="cs-CZ"/>
        </w:rPr>
        <w:t xml:space="preserve"> v cizích jazycích</w:t>
      </w:r>
      <w:r>
        <w:rPr>
          <w:lang w:eastAsia="cs-CZ"/>
        </w:rPr>
        <w:t xml:space="preserve"> dosáhla nejnižší míry připravenosti a to i v porovnání s krajem a celým Českem.</w:t>
      </w:r>
      <w:r w:rsidR="00212D9F">
        <w:rPr>
          <w:lang w:eastAsia="cs-CZ"/>
        </w:rPr>
        <w:t xml:space="preserve"> </w:t>
      </w:r>
    </w:p>
    <w:p w:rsidR="00042BC8" w:rsidRPr="002D3EBB" w:rsidRDefault="00042BC8" w:rsidP="00042BC8">
      <w:pPr>
        <w:pStyle w:val="Nadpis5"/>
      </w:pPr>
      <w:r w:rsidRPr="002D3EBB">
        <w:t>Tabulka</w:t>
      </w:r>
      <w:r w:rsidRPr="002D3EBB">
        <w:rPr>
          <w:szCs w:val="20"/>
        </w:rPr>
        <w:t xml:space="preserve">: </w:t>
      </w:r>
      <w:r w:rsidR="002D3EBB" w:rsidRPr="002D3EBB">
        <w:rPr>
          <w:szCs w:val="20"/>
        </w:rPr>
        <w:t>Polytechnické</w:t>
      </w:r>
      <w:r w:rsidRPr="002D3EBB">
        <w:rPr>
          <w:szCs w:val="20"/>
        </w:rPr>
        <w:t xml:space="preserve"> vzdělávání</w:t>
      </w:r>
    </w:p>
    <w:tbl>
      <w:tblPr>
        <w:tblW w:w="9089" w:type="dxa"/>
        <w:tblInd w:w="53" w:type="dxa"/>
        <w:tblLayout w:type="fixed"/>
        <w:tblCellMar>
          <w:left w:w="70" w:type="dxa"/>
          <w:right w:w="70" w:type="dxa"/>
        </w:tblCellMar>
        <w:tblLook w:val="04A0"/>
      </w:tblPr>
      <w:tblGrid>
        <w:gridCol w:w="4837"/>
        <w:gridCol w:w="992"/>
        <w:gridCol w:w="992"/>
        <w:gridCol w:w="1039"/>
        <w:gridCol w:w="580"/>
        <w:gridCol w:w="649"/>
      </w:tblGrid>
      <w:tr w:rsidR="00042BC8" w:rsidRPr="00042BC8" w:rsidTr="00DF4192">
        <w:trPr>
          <w:trHeight w:val="227"/>
        </w:trPr>
        <w:tc>
          <w:tcPr>
            <w:tcW w:w="4837" w:type="dxa"/>
            <w:vMerge w:val="restart"/>
            <w:tcBorders>
              <w:bottom w:val="single" w:sz="4" w:space="0" w:color="000000"/>
              <w:right w:val="single" w:sz="4" w:space="0" w:color="auto"/>
            </w:tcBorders>
            <w:shd w:val="clear" w:color="000000" w:fill="FAC090"/>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 </w:t>
            </w:r>
          </w:p>
        </w:tc>
        <w:tc>
          <w:tcPr>
            <w:tcW w:w="1984" w:type="dxa"/>
            <w:gridSpan w:val="2"/>
            <w:tcBorders>
              <w:left w:val="nil"/>
              <w:bottom w:val="nil"/>
              <w:right w:val="single" w:sz="4" w:space="0" w:color="000000"/>
            </w:tcBorders>
            <w:shd w:val="clear" w:color="000000" w:fill="FAC090"/>
            <w:vAlign w:val="bottom"/>
            <w:hideMark/>
          </w:tcPr>
          <w:p w:rsidR="00042BC8" w:rsidRPr="00042BC8" w:rsidRDefault="00042BC8" w:rsidP="00B554CA">
            <w:pPr>
              <w:pStyle w:val="Nzev"/>
              <w:jc w:val="center"/>
              <w:rPr>
                <w:rFonts w:eastAsia="Times New Roman"/>
                <w:lang w:eastAsia="cs-CZ"/>
              </w:rPr>
            </w:pPr>
            <w:r w:rsidRPr="00042BC8">
              <w:rPr>
                <w:rFonts w:eastAsia="Times New Roman"/>
                <w:lang w:eastAsia="cs-CZ"/>
              </w:rPr>
              <w:t xml:space="preserve">Podíl ZŠ v rámci </w:t>
            </w:r>
            <w:r>
              <w:rPr>
                <w:rFonts w:eastAsia="Times New Roman"/>
                <w:lang w:eastAsia="cs-CZ"/>
              </w:rPr>
              <w:t xml:space="preserve">SO </w:t>
            </w:r>
            <w:r w:rsidRPr="00042BC8">
              <w:rPr>
                <w:rFonts w:eastAsia="Times New Roman"/>
                <w:lang w:eastAsia="cs-CZ"/>
              </w:rPr>
              <w:t>ORP plánujících zlepšení</w:t>
            </w:r>
          </w:p>
        </w:tc>
        <w:tc>
          <w:tcPr>
            <w:tcW w:w="2268" w:type="dxa"/>
            <w:gridSpan w:val="3"/>
            <w:tcBorders>
              <w:left w:val="nil"/>
              <w:bottom w:val="nil"/>
            </w:tcBorders>
            <w:shd w:val="clear" w:color="000000" w:fill="FAC090"/>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Průměrné hodnocení aktuálního stavu</w:t>
            </w:r>
          </w:p>
        </w:tc>
      </w:tr>
      <w:tr w:rsidR="00042BC8" w:rsidRPr="00042BC8" w:rsidTr="00DF4192">
        <w:trPr>
          <w:trHeight w:val="227"/>
        </w:trPr>
        <w:tc>
          <w:tcPr>
            <w:tcW w:w="4837" w:type="dxa"/>
            <w:vMerge/>
            <w:tcBorders>
              <w:top w:val="single" w:sz="8" w:space="0" w:color="auto"/>
              <w:bottom w:val="single" w:sz="4" w:space="0" w:color="000000"/>
              <w:right w:val="single" w:sz="4" w:space="0" w:color="auto"/>
            </w:tcBorders>
            <w:vAlign w:val="center"/>
            <w:hideMark/>
          </w:tcPr>
          <w:p w:rsidR="00042BC8" w:rsidRPr="00042BC8" w:rsidRDefault="00042BC8" w:rsidP="00B554CA">
            <w:pPr>
              <w:pStyle w:val="Nzev"/>
              <w:jc w:val="left"/>
              <w:rPr>
                <w:rFonts w:eastAsia="Times New Roman"/>
                <w:lang w:eastAsia="cs-CZ"/>
              </w:rPr>
            </w:pP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2016–18</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2019–20</w:t>
            </w:r>
          </w:p>
        </w:tc>
        <w:tc>
          <w:tcPr>
            <w:tcW w:w="1039" w:type="dxa"/>
            <w:tcBorders>
              <w:top w:val="single" w:sz="4" w:space="0" w:color="auto"/>
              <w:left w:val="nil"/>
              <w:bottom w:val="single" w:sz="4" w:space="0" w:color="auto"/>
              <w:right w:val="nil"/>
            </w:tcBorders>
            <w:shd w:val="clear" w:color="000000" w:fill="FAC090"/>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SO</w:t>
            </w:r>
            <w:r>
              <w:rPr>
                <w:rFonts w:eastAsia="Times New Roman"/>
                <w:lang w:eastAsia="cs-CZ"/>
              </w:rPr>
              <w:t xml:space="preserve"> </w:t>
            </w:r>
            <w:r w:rsidRPr="00042BC8">
              <w:rPr>
                <w:rFonts w:eastAsia="Times New Roman"/>
                <w:lang w:eastAsia="cs-CZ"/>
              </w:rPr>
              <w:t>ORP</w:t>
            </w:r>
          </w:p>
        </w:tc>
        <w:tc>
          <w:tcPr>
            <w:tcW w:w="580" w:type="dxa"/>
            <w:tcBorders>
              <w:top w:val="single" w:sz="4" w:space="0" w:color="auto"/>
              <w:left w:val="single" w:sz="4" w:space="0" w:color="auto"/>
              <w:bottom w:val="single" w:sz="4" w:space="0" w:color="auto"/>
              <w:right w:val="single" w:sz="4" w:space="0" w:color="000000"/>
            </w:tcBorders>
            <w:shd w:val="clear" w:color="000000" w:fill="FAC090"/>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kraj</w:t>
            </w:r>
          </w:p>
        </w:tc>
        <w:tc>
          <w:tcPr>
            <w:tcW w:w="649" w:type="dxa"/>
            <w:tcBorders>
              <w:top w:val="single" w:sz="4" w:space="0" w:color="auto"/>
              <w:left w:val="nil"/>
              <w:bottom w:val="single" w:sz="4" w:space="0" w:color="auto"/>
            </w:tcBorders>
            <w:shd w:val="clear" w:color="000000" w:fill="FAC090"/>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ČR</w:t>
            </w:r>
          </w:p>
        </w:tc>
      </w:tr>
      <w:tr w:rsidR="00042BC8" w:rsidRPr="00042BC8" w:rsidTr="00DF4192">
        <w:trPr>
          <w:trHeight w:val="227"/>
        </w:trPr>
        <w:tc>
          <w:tcPr>
            <w:tcW w:w="4837" w:type="dxa"/>
            <w:tcBorders>
              <w:top w:val="nil"/>
              <w:bottom w:val="nil"/>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Technické vzdělávání je na naší škole realizováno v souladu s RVP ZV</w:t>
            </w:r>
          </w:p>
        </w:tc>
        <w:tc>
          <w:tcPr>
            <w:tcW w:w="992" w:type="dxa"/>
            <w:tcBorders>
              <w:top w:val="nil"/>
              <w:left w:val="nil"/>
              <w:bottom w:val="nil"/>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73,7%</w:t>
            </w:r>
          </w:p>
        </w:tc>
        <w:tc>
          <w:tcPr>
            <w:tcW w:w="992" w:type="dxa"/>
            <w:tcBorders>
              <w:top w:val="nil"/>
              <w:left w:val="nil"/>
              <w:bottom w:val="nil"/>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10,5%</w:t>
            </w:r>
          </w:p>
        </w:tc>
        <w:tc>
          <w:tcPr>
            <w:tcW w:w="1039" w:type="dxa"/>
            <w:tcBorders>
              <w:top w:val="single" w:sz="4" w:space="0" w:color="auto"/>
              <w:left w:val="nil"/>
              <w:bottom w:val="single" w:sz="4" w:space="0" w:color="auto"/>
              <w:right w:val="nil"/>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2,89</w:t>
            </w:r>
          </w:p>
        </w:tc>
        <w:tc>
          <w:tcPr>
            <w:tcW w:w="5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2,75</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2,80</w:t>
            </w:r>
          </w:p>
        </w:tc>
      </w:tr>
      <w:tr w:rsidR="00042BC8" w:rsidRPr="00042BC8" w:rsidTr="00DF4192">
        <w:trPr>
          <w:trHeight w:val="227"/>
        </w:trPr>
        <w:tc>
          <w:tcPr>
            <w:tcW w:w="4837" w:type="dxa"/>
            <w:tcBorders>
              <w:top w:val="single" w:sz="4" w:space="0" w:color="auto"/>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Přírodovědné a environmentální vzdělávání je na naší škole realizováno v souladu s RVP ZV</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73,7%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3,11</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3,00</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2,99</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Příslušní učitelé rozvíjejí své znalosti v oblasti polytechnického vzdělávání a využívají je ve výuce (kurzy dalšího vzdělávání, studium literatury aj.)</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2,84</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2,51</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2,52</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lastRenderedPageBreak/>
              <w:t>Učitelé 1. i 2. stupně využívají poznatky v praxi a sdílejí dobrou praxi v oblasti rozvoje polytechnického vzdělávání mezi sebou i s učiteli z jiných škol</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2,26</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2,21</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2,17</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má zpracovány plány výuky polytechnických předmětů (matematiky, předmětů přírodovědného a technického směru, vzdělávací oblasti Člověk a svět práce), které jsou vzájemně obsahově i časově provázány</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63,2%</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2,89</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2,66</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2,71</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podporuje z</w:t>
            </w:r>
            <w:r>
              <w:rPr>
                <w:rFonts w:eastAsia="Times New Roman"/>
                <w:lang w:eastAsia="cs-CZ"/>
              </w:rPr>
              <w:t xml:space="preserve">ájem žáků o oblast </w:t>
            </w:r>
            <w:proofErr w:type="spellStart"/>
            <w:r>
              <w:rPr>
                <w:rFonts w:eastAsia="Times New Roman"/>
                <w:lang w:eastAsia="cs-CZ"/>
              </w:rPr>
              <w:t>polytech</w:t>
            </w:r>
            <w:proofErr w:type="spellEnd"/>
            <w:r>
              <w:rPr>
                <w:rFonts w:eastAsia="Times New Roman"/>
                <w:lang w:eastAsia="cs-CZ"/>
              </w:rPr>
              <w:t xml:space="preserve">. </w:t>
            </w:r>
            <w:r w:rsidRPr="00042BC8">
              <w:rPr>
                <w:rFonts w:eastAsia="Times New Roman"/>
                <w:lang w:eastAsia="cs-CZ"/>
              </w:rPr>
              <w:t>propojením znalostí s každodenním životem a budoucí profesí</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2,79</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2,62</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2,63</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disponuje vzdělávacími materiály pro vzdělávání polytechnického charakteru</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15,8%</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2,63</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2,25</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2,29</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 xml:space="preserve">Součástí výuky </w:t>
            </w:r>
            <w:proofErr w:type="spellStart"/>
            <w:r w:rsidRPr="00042BC8">
              <w:rPr>
                <w:rFonts w:eastAsia="Times New Roman"/>
                <w:lang w:eastAsia="cs-CZ"/>
              </w:rPr>
              <w:t>polytech</w:t>
            </w:r>
            <w:proofErr w:type="spellEnd"/>
            <w:r>
              <w:rPr>
                <w:rFonts w:eastAsia="Times New Roman"/>
                <w:lang w:eastAsia="cs-CZ"/>
              </w:rPr>
              <w:t>.</w:t>
            </w:r>
            <w:r w:rsidRPr="00042BC8">
              <w:rPr>
                <w:rFonts w:eastAsia="Times New Roman"/>
                <w:lang w:eastAsia="cs-CZ"/>
              </w:rPr>
              <w:t xml:space="preserve"> předmětů jsou laboratorní cvičení, pokusy, různé projekty apod. podporující praktickou stránku </w:t>
            </w:r>
            <w:proofErr w:type="spellStart"/>
            <w:r w:rsidRPr="00042BC8">
              <w:rPr>
                <w:rFonts w:eastAsia="Times New Roman"/>
                <w:lang w:eastAsia="cs-CZ"/>
              </w:rPr>
              <w:t>polytech</w:t>
            </w:r>
            <w:proofErr w:type="spellEnd"/>
            <w:r>
              <w:rPr>
                <w:rFonts w:eastAsia="Times New Roman"/>
                <w:lang w:eastAsia="cs-CZ"/>
              </w:rPr>
              <w:t>.</w:t>
            </w:r>
            <w:r w:rsidRPr="00042BC8">
              <w:rPr>
                <w:rFonts w:eastAsia="Times New Roman"/>
                <w:lang w:eastAsia="cs-CZ"/>
              </w:rPr>
              <w:t xml:space="preserve"> vzdělávání a rozvíjející manuální zručnost </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2,53</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2,34</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2,38</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spolupracuje se SŠ, VŠ, výzkumnými pracovišti technického zaměření</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42,1%</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1,74</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1,48</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1,66</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Na škole probíhá výuka vybraných témat polytechnických předmětů v cizích jazycích – metoda CLILL</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36,8%</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10,5%</w:t>
            </w:r>
          </w:p>
        </w:tc>
        <w:tc>
          <w:tcPr>
            <w:tcW w:w="1039" w:type="dxa"/>
            <w:tcBorders>
              <w:top w:val="single" w:sz="4" w:space="0" w:color="auto"/>
              <w:left w:val="nil"/>
              <w:bottom w:val="single" w:sz="4" w:space="0" w:color="auto"/>
              <w:right w:val="single" w:sz="4" w:space="0" w:color="000000"/>
            </w:tcBorders>
            <w:shd w:val="clear" w:color="000000" w:fill="E6B9B8"/>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1,11</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1,15</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1,13</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podporuje samostatnou práci žáků v oblasti polytechnického vzdělávání</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10,5%</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2,42</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2,23</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2,24</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podporuje individuální práci s žáky s mimořádným zájmem o polytechniku</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15,8%</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2,26</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1,92</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1,91</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Ve škole existují kroužky/pravidelné dílny/jiné pravidelné mimoškolní aktivity na podporu a rozvoj polytechnického vzdělávání</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15,8%</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2,11</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1,92</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1,89</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 xml:space="preserve">Na škole se realizují </w:t>
            </w:r>
            <w:proofErr w:type="spellStart"/>
            <w:r w:rsidRPr="00042BC8">
              <w:rPr>
                <w:rFonts w:eastAsia="Times New Roman"/>
                <w:lang w:eastAsia="cs-CZ"/>
              </w:rPr>
              <w:t>mimovýukové</w:t>
            </w:r>
            <w:proofErr w:type="spellEnd"/>
            <w:r w:rsidRPr="00042BC8">
              <w:rPr>
                <w:rFonts w:eastAsia="Times New Roman"/>
                <w:lang w:eastAsia="cs-CZ"/>
              </w:rPr>
              <w:t xml:space="preserve"> akce pro žáky na podporu polytechnického vzdělávání a zvýšení motivace žáků (např. projektové dny, realizace exkurzí, diskuse s osobnostmi apod.)</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nil"/>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2,63</w:t>
            </w:r>
          </w:p>
        </w:tc>
        <w:tc>
          <w:tcPr>
            <w:tcW w:w="5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2,22</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2,25</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aktivně podporuje předškolní polytechnickou výchovu (např. spolupráce s MŠ)</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47,4%</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10,5%</w:t>
            </w:r>
          </w:p>
        </w:tc>
        <w:tc>
          <w:tcPr>
            <w:tcW w:w="1039" w:type="dxa"/>
            <w:tcBorders>
              <w:top w:val="single" w:sz="4" w:space="0" w:color="auto"/>
              <w:left w:val="nil"/>
              <w:bottom w:val="single" w:sz="4" w:space="0" w:color="auto"/>
              <w:right w:val="nil"/>
            </w:tcBorders>
            <w:shd w:val="clear" w:color="000000" w:fill="E6B9B8"/>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1,58</w:t>
            </w:r>
          </w:p>
        </w:tc>
        <w:tc>
          <w:tcPr>
            <w:tcW w:w="5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1,84</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1,85</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spolupracuje s místními firmami/podnikateli</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84,2%</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0,0%</w:t>
            </w:r>
          </w:p>
        </w:tc>
        <w:tc>
          <w:tcPr>
            <w:tcW w:w="1039" w:type="dxa"/>
            <w:tcBorders>
              <w:top w:val="single" w:sz="4" w:space="0" w:color="auto"/>
              <w:left w:val="nil"/>
              <w:bottom w:val="single" w:sz="4" w:space="0" w:color="auto"/>
              <w:right w:val="nil"/>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1,95</w:t>
            </w:r>
          </w:p>
        </w:tc>
        <w:tc>
          <w:tcPr>
            <w:tcW w:w="5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1,66</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1,66</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informuje o oblasti polytechnického vzdělávání rodiče (publicita akcí, kroužků, aktivit – projektové dny, dny otevřených dveří apod.)</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78,9%</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nil"/>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2,42</w:t>
            </w:r>
          </w:p>
        </w:tc>
        <w:tc>
          <w:tcPr>
            <w:tcW w:w="5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2,21</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2,21</w:t>
            </w:r>
          </w:p>
        </w:tc>
      </w:tr>
      <w:tr w:rsidR="00042BC8" w:rsidRPr="00042BC8"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 xml:space="preserve">Ve škole existuje podnětné prostředí / prostor s informacemi z oblasti </w:t>
            </w:r>
            <w:proofErr w:type="spellStart"/>
            <w:r w:rsidRPr="00042BC8">
              <w:rPr>
                <w:rFonts w:eastAsia="Times New Roman"/>
                <w:lang w:eastAsia="cs-CZ"/>
              </w:rPr>
              <w:t>polytech</w:t>
            </w:r>
            <w:proofErr w:type="spellEnd"/>
            <w:r w:rsidR="001A16AE">
              <w:rPr>
                <w:rFonts w:eastAsia="Times New Roman"/>
                <w:lang w:eastAsia="cs-CZ"/>
              </w:rPr>
              <w:t>.</w:t>
            </w:r>
            <w:r w:rsidRPr="00042BC8">
              <w:rPr>
                <w:rFonts w:eastAsia="Times New Roman"/>
                <w:lang w:eastAsia="cs-CZ"/>
              </w:rPr>
              <w:t xml:space="preserve"> vzdělávání pro žáky i učitele (fyzické či virtuální místo s možností doporučovat, sdílet, ukládat či vystavovat</w:t>
            </w:r>
            <w:r w:rsidR="001A16AE">
              <w:rPr>
                <w:rFonts w:eastAsia="Times New Roman"/>
                <w:lang w:eastAsia="cs-CZ"/>
              </w:rPr>
              <w:t xml:space="preserve"> </w:t>
            </w:r>
            <w:r w:rsidRPr="00042BC8">
              <w:rPr>
                <w:rFonts w:eastAsia="Times New Roman"/>
                <w:lang w:eastAsia="cs-CZ"/>
              </w:rPr>
              <w:t>výrobky, výsledky projektů…)</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5,3%</w:t>
            </w:r>
          </w:p>
        </w:tc>
        <w:tc>
          <w:tcPr>
            <w:tcW w:w="1039" w:type="dxa"/>
            <w:tcBorders>
              <w:top w:val="single" w:sz="4" w:space="0" w:color="auto"/>
              <w:left w:val="nil"/>
              <w:bottom w:val="single" w:sz="4" w:space="0" w:color="auto"/>
              <w:right w:val="nil"/>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2,47</w:t>
            </w:r>
          </w:p>
        </w:tc>
        <w:tc>
          <w:tcPr>
            <w:tcW w:w="5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2,05</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2,08</w:t>
            </w:r>
          </w:p>
        </w:tc>
      </w:tr>
      <w:tr w:rsidR="00042BC8" w:rsidRPr="00042BC8" w:rsidTr="00DF4192">
        <w:trPr>
          <w:trHeight w:val="227"/>
        </w:trPr>
        <w:tc>
          <w:tcPr>
            <w:tcW w:w="4837" w:type="dxa"/>
            <w:tcBorders>
              <w:top w:val="nil"/>
              <w:bottom w:val="nil"/>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disponuje dostatečným technickým a materiálním zabezpečením na podporu a rozvoj polytechnického vzdělávání (např. učebny pro výuku chemie, fyziky, přírodopisu ad.)</w:t>
            </w:r>
          </w:p>
        </w:tc>
        <w:tc>
          <w:tcPr>
            <w:tcW w:w="992" w:type="dxa"/>
            <w:tcBorders>
              <w:top w:val="nil"/>
              <w:left w:val="nil"/>
              <w:bottom w:val="nil"/>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63,2%</w:t>
            </w:r>
          </w:p>
        </w:tc>
        <w:tc>
          <w:tcPr>
            <w:tcW w:w="992" w:type="dxa"/>
            <w:tcBorders>
              <w:top w:val="nil"/>
              <w:left w:val="nil"/>
              <w:bottom w:val="nil"/>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15,8%</w:t>
            </w:r>
          </w:p>
        </w:tc>
        <w:tc>
          <w:tcPr>
            <w:tcW w:w="1039"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2,11</w:t>
            </w:r>
          </w:p>
        </w:tc>
        <w:tc>
          <w:tcPr>
            <w:tcW w:w="580" w:type="dxa"/>
            <w:tcBorders>
              <w:top w:val="single" w:sz="4" w:space="0" w:color="auto"/>
              <w:left w:val="nil"/>
              <w:bottom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1,89</w:t>
            </w:r>
          </w:p>
        </w:tc>
        <w:tc>
          <w:tcPr>
            <w:tcW w:w="649" w:type="dxa"/>
            <w:tcBorders>
              <w:top w:val="single" w:sz="4" w:space="0" w:color="auto"/>
              <w:left w:val="nil"/>
              <w:bottom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2,04</w:t>
            </w:r>
          </w:p>
        </w:tc>
      </w:tr>
      <w:tr w:rsidR="00042BC8" w:rsidRPr="00042BC8" w:rsidTr="00DF4192">
        <w:trPr>
          <w:trHeight w:val="227"/>
        </w:trPr>
        <w:tc>
          <w:tcPr>
            <w:tcW w:w="4837" w:type="dxa"/>
            <w:tcBorders>
              <w:top w:val="single" w:sz="4" w:space="0" w:color="auto"/>
              <w:right w:val="single" w:sz="4" w:space="0" w:color="auto"/>
            </w:tcBorders>
            <w:shd w:val="clear" w:color="auto" w:fill="auto"/>
            <w:vAlign w:val="center"/>
            <w:hideMark/>
          </w:tcPr>
          <w:p w:rsidR="00042BC8" w:rsidRPr="00042BC8" w:rsidRDefault="00042BC8" w:rsidP="00B554CA">
            <w:pPr>
              <w:pStyle w:val="Nzev"/>
              <w:jc w:val="left"/>
              <w:rPr>
                <w:rFonts w:eastAsia="Times New Roman"/>
                <w:lang w:eastAsia="cs-CZ"/>
              </w:rPr>
            </w:pPr>
            <w:r w:rsidRPr="00042BC8">
              <w:rPr>
                <w:rFonts w:eastAsia="Times New Roman"/>
                <w:lang w:eastAsia="cs-CZ"/>
              </w:rPr>
              <w:t>Škola využívá informační a komunikační technologie v oblasti rozvoje polytechnického vzdělávání</w:t>
            </w:r>
          </w:p>
        </w:tc>
        <w:tc>
          <w:tcPr>
            <w:tcW w:w="992" w:type="dxa"/>
            <w:tcBorders>
              <w:top w:val="single" w:sz="4" w:space="0" w:color="auto"/>
              <w:left w:val="nil"/>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57,9%</w:t>
            </w:r>
          </w:p>
        </w:tc>
        <w:tc>
          <w:tcPr>
            <w:tcW w:w="992" w:type="dxa"/>
            <w:tcBorders>
              <w:top w:val="single" w:sz="4" w:space="0" w:color="auto"/>
              <w:left w:val="nil"/>
              <w:right w:val="single" w:sz="4" w:space="0" w:color="auto"/>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15,8%</w:t>
            </w:r>
          </w:p>
        </w:tc>
        <w:tc>
          <w:tcPr>
            <w:tcW w:w="1039" w:type="dxa"/>
            <w:tcBorders>
              <w:top w:val="single" w:sz="4" w:space="0" w:color="auto"/>
              <w:left w:val="nil"/>
              <w:right w:val="nil"/>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2,84</w:t>
            </w:r>
          </w:p>
        </w:tc>
        <w:tc>
          <w:tcPr>
            <w:tcW w:w="580" w:type="dxa"/>
            <w:tcBorders>
              <w:top w:val="single" w:sz="4" w:space="0" w:color="auto"/>
              <w:left w:val="single" w:sz="4" w:space="0" w:color="auto"/>
              <w:right w:val="single" w:sz="4" w:space="0" w:color="000000"/>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2,39</w:t>
            </w:r>
          </w:p>
        </w:tc>
        <w:tc>
          <w:tcPr>
            <w:tcW w:w="649" w:type="dxa"/>
            <w:tcBorders>
              <w:top w:val="single" w:sz="4" w:space="0" w:color="auto"/>
              <w:left w:val="nil"/>
            </w:tcBorders>
            <w:shd w:val="clear" w:color="000000" w:fill="FFFFFF"/>
            <w:vAlign w:val="center"/>
            <w:hideMark/>
          </w:tcPr>
          <w:p w:rsidR="00042BC8" w:rsidRPr="00042BC8" w:rsidRDefault="00042BC8" w:rsidP="00B554CA">
            <w:pPr>
              <w:pStyle w:val="Nzev"/>
              <w:jc w:val="center"/>
              <w:rPr>
                <w:rFonts w:eastAsia="Times New Roman"/>
                <w:lang w:eastAsia="cs-CZ"/>
              </w:rPr>
            </w:pPr>
            <w:r w:rsidRPr="00042BC8">
              <w:rPr>
                <w:rFonts w:eastAsia="Times New Roman"/>
                <w:lang w:eastAsia="cs-CZ"/>
              </w:rPr>
              <w:t>2,43</w:t>
            </w:r>
          </w:p>
        </w:tc>
      </w:tr>
    </w:tbl>
    <w:p w:rsidR="00A10229" w:rsidRDefault="00A10229" w:rsidP="00042BC8">
      <w:pPr>
        <w:pStyle w:val="Bezmezer"/>
        <w:rPr>
          <w:lang w:eastAsia="cs-CZ"/>
        </w:rPr>
      </w:pPr>
      <w:r w:rsidRPr="00704619">
        <w:rPr>
          <w:lang w:eastAsia="cs-CZ"/>
        </w:rPr>
        <w:t xml:space="preserve">Navážeme-li na předešlý odstavec, </w:t>
      </w:r>
      <w:r w:rsidRPr="00B372E6">
        <w:rPr>
          <w:b/>
          <w:lang w:eastAsia="cs-CZ"/>
        </w:rPr>
        <w:t>druhým nejnižším číslem</w:t>
      </w:r>
      <w:r w:rsidRPr="00704619">
        <w:rPr>
          <w:lang w:eastAsia="cs-CZ"/>
        </w:rPr>
        <w:t xml:space="preserve"> vyjadřujícím průměrné hodnocení aktuálního stavu daného tématu </w:t>
      </w:r>
      <w:r w:rsidR="00704619" w:rsidRPr="00704619">
        <w:rPr>
          <w:lang w:eastAsia="cs-CZ"/>
        </w:rPr>
        <w:t>je ohodnoceno „</w:t>
      </w:r>
      <w:r w:rsidRPr="00704619">
        <w:rPr>
          <w:lang w:eastAsia="cs-CZ"/>
        </w:rPr>
        <w:t>Škola aktivn</w:t>
      </w:r>
      <w:r w:rsidRPr="00704619">
        <w:rPr>
          <w:rFonts w:hint="eastAsia"/>
          <w:lang w:eastAsia="cs-CZ"/>
        </w:rPr>
        <w:t>ě</w:t>
      </w:r>
      <w:r w:rsidRPr="00704619">
        <w:rPr>
          <w:lang w:eastAsia="cs-CZ"/>
        </w:rPr>
        <w:t xml:space="preserve"> podporuje </w:t>
      </w:r>
      <w:r w:rsidRPr="00283947">
        <w:rPr>
          <w:lang w:eastAsia="cs-CZ"/>
        </w:rPr>
        <w:t>p</w:t>
      </w:r>
      <w:r w:rsidRPr="00283947">
        <w:rPr>
          <w:rFonts w:hint="eastAsia"/>
          <w:lang w:eastAsia="cs-CZ"/>
        </w:rPr>
        <w:t>ř</w:t>
      </w:r>
      <w:r w:rsidRPr="00283947">
        <w:rPr>
          <w:lang w:eastAsia="cs-CZ"/>
        </w:rPr>
        <w:t>edšk</w:t>
      </w:r>
      <w:r w:rsidR="00704619" w:rsidRPr="00283947">
        <w:rPr>
          <w:lang w:eastAsia="cs-CZ"/>
        </w:rPr>
        <w:t>olní polytechnickou výchovu</w:t>
      </w:r>
      <w:r w:rsidR="00704619" w:rsidRPr="00704619">
        <w:rPr>
          <w:lang w:eastAsia="cs-CZ"/>
        </w:rPr>
        <w:t>“</w:t>
      </w:r>
      <w:r w:rsidR="005835FA">
        <w:rPr>
          <w:lang w:eastAsia="cs-CZ"/>
        </w:rPr>
        <w:t xml:space="preserve">. </w:t>
      </w:r>
      <w:r w:rsidR="00B372E6">
        <w:rPr>
          <w:lang w:eastAsia="cs-CZ"/>
        </w:rPr>
        <w:t>Kromě samotné otázky míry polytechnického vzdělávání již na úrovni MŠ (výše v analýze vzešel od MŠ impulz pro všeobecný rozvoj tohoto tématu již na jejich úrovni), zde narážíme na problém</w:t>
      </w:r>
      <w:r w:rsidR="005835FA">
        <w:rPr>
          <w:lang w:eastAsia="cs-CZ"/>
        </w:rPr>
        <w:t xml:space="preserve"> </w:t>
      </w:r>
      <w:r w:rsidR="00B372E6">
        <w:rPr>
          <w:lang w:eastAsia="cs-CZ"/>
        </w:rPr>
        <w:t xml:space="preserve">kompetencí mezi mateřskými a základními školami, mírou jejich spolupráce a ochoty vzájemně se ovlivňovat a doplňovat ve vyučovacích osnovách. </w:t>
      </w:r>
      <w:r w:rsidR="005835FA">
        <w:rPr>
          <w:lang w:eastAsia="cs-CZ"/>
        </w:rPr>
        <w:t xml:space="preserve">Otázkou ale rovněž zůstává, </w:t>
      </w:r>
      <w:r w:rsidR="005835FA" w:rsidRPr="004E178A">
        <w:rPr>
          <w:b/>
          <w:lang w:eastAsia="cs-CZ"/>
        </w:rPr>
        <w:t>do jaké míry je termín „polytechnické vzdělávání“</w:t>
      </w:r>
      <w:r w:rsidR="004E178A">
        <w:rPr>
          <w:lang w:eastAsia="cs-CZ"/>
        </w:rPr>
        <w:t xml:space="preserve"> v našem základním školství </w:t>
      </w:r>
      <w:r w:rsidR="004E178A" w:rsidRPr="004E178A">
        <w:rPr>
          <w:b/>
          <w:lang w:eastAsia="cs-CZ"/>
        </w:rPr>
        <w:t>zakořeněn</w:t>
      </w:r>
      <w:r w:rsidR="004E178A">
        <w:rPr>
          <w:lang w:eastAsia="cs-CZ"/>
        </w:rPr>
        <w:t xml:space="preserve">, </w:t>
      </w:r>
      <w:r w:rsidR="004E178A" w:rsidRPr="004E178A">
        <w:rPr>
          <w:b/>
          <w:lang w:eastAsia="cs-CZ"/>
        </w:rPr>
        <w:t xml:space="preserve">jak mu každý </w:t>
      </w:r>
      <w:r w:rsidR="004E178A" w:rsidRPr="008F5574">
        <w:rPr>
          <w:lang w:eastAsia="cs-CZ"/>
        </w:rPr>
        <w:t>jeden kantor</w:t>
      </w:r>
      <w:r w:rsidR="004E178A" w:rsidRPr="004E178A">
        <w:rPr>
          <w:b/>
          <w:lang w:eastAsia="cs-CZ"/>
        </w:rPr>
        <w:t xml:space="preserve"> rozumí </w:t>
      </w:r>
      <w:r w:rsidR="004E178A" w:rsidRPr="008F5574">
        <w:rPr>
          <w:lang w:eastAsia="cs-CZ"/>
        </w:rPr>
        <w:t>a do jaké míry tuší,</w:t>
      </w:r>
      <w:r w:rsidR="004E178A" w:rsidRPr="004E178A">
        <w:rPr>
          <w:b/>
          <w:lang w:eastAsia="cs-CZ"/>
        </w:rPr>
        <w:t xml:space="preserve"> co očekávat, s čím pracovat a na co klást důraz</w:t>
      </w:r>
      <w:r w:rsidR="004E178A">
        <w:rPr>
          <w:lang w:eastAsia="cs-CZ"/>
        </w:rPr>
        <w:t>.</w:t>
      </w:r>
    </w:p>
    <w:p w:rsidR="0070147B" w:rsidRDefault="00465256" w:rsidP="00042BC8">
      <w:pPr>
        <w:pStyle w:val="Bezmezer"/>
        <w:rPr>
          <w:lang w:eastAsia="cs-CZ"/>
        </w:rPr>
      </w:pPr>
      <w:r>
        <w:rPr>
          <w:lang w:eastAsia="cs-CZ"/>
        </w:rPr>
        <w:lastRenderedPageBreak/>
        <w:t xml:space="preserve">Nejvyšší </w:t>
      </w:r>
      <w:r w:rsidRPr="0070147B">
        <w:rPr>
          <w:lang w:eastAsia="cs-CZ"/>
        </w:rPr>
        <w:t xml:space="preserve">hodnocení aktuálního stavu pak opět dostávají témata </w:t>
      </w:r>
      <w:r w:rsidR="00167044" w:rsidRPr="0070147B">
        <w:rPr>
          <w:lang w:eastAsia="cs-CZ"/>
        </w:rPr>
        <w:t>související</w:t>
      </w:r>
      <w:r w:rsidRPr="0070147B">
        <w:rPr>
          <w:lang w:eastAsia="cs-CZ"/>
        </w:rPr>
        <w:t xml:space="preserve"> s rámcový</w:t>
      </w:r>
      <w:r w:rsidR="00167044" w:rsidRPr="0070147B">
        <w:rPr>
          <w:lang w:eastAsia="cs-CZ"/>
        </w:rPr>
        <w:t>mi</w:t>
      </w:r>
      <w:r w:rsidRPr="0070147B">
        <w:rPr>
          <w:lang w:eastAsia="cs-CZ"/>
        </w:rPr>
        <w:t xml:space="preserve"> vzdělávací</w:t>
      </w:r>
      <w:r w:rsidR="00167044" w:rsidRPr="0070147B">
        <w:rPr>
          <w:lang w:eastAsia="cs-CZ"/>
        </w:rPr>
        <w:t>mi</w:t>
      </w:r>
      <w:r w:rsidRPr="0070147B">
        <w:rPr>
          <w:lang w:eastAsia="cs-CZ"/>
        </w:rPr>
        <w:t xml:space="preserve"> program</w:t>
      </w:r>
      <w:r w:rsidR="00167044" w:rsidRPr="0070147B">
        <w:rPr>
          <w:lang w:eastAsia="cs-CZ"/>
        </w:rPr>
        <w:t xml:space="preserve">y, které na školách povinně běží. Znovu však zopakujme, že </w:t>
      </w:r>
      <w:r w:rsidR="00167044" w:rsidRPr="00B623F2">
        <w:rPr>
          <w:lang w:eastAsia="cs-CZ"/>
        </w:rPr>
        <w:t>v</w:t>
      </w:r>
      <w:r w:rsidR="00042BC8" w:rsidRPr="00B623F2">
        <w:rPr>
          <w:lang w:eastAsia="cs-CZ"/>
        </w:rPr>
        <w:t>zhledem</w:t>
      </w:r>
      <w:r w:rsidR="00042BC8" w:rsidRPr="0070147B">
        <w:rPr>
          <w:b/>
          <w:lang w:eastAsia="cs-CZ"/>
        </w:rPr>
        <w:t xml:space="preserve"> k relativitě standardu, </w:t>
      </w:r>
      <w:r w:rsidR="00042BC8" w:rsidRPr="00B623F2">
        <w:rPr>
          <w:lang w:eastAsia="cs-CZ"/>
        </w:rPr>
        <w:t>dle kterého mohou svůj současný stav školy porovnávat, se jako informace s</w:t>
      </w:r>
      <w:r w:rsidR="00042BC8" w:rsidRPr="0070147B">
        <w:rPr>
          <w:b/>
          <w:lang w:eastAsia="cs-CZ"/>
        </w:rPr>
        <w:t xml:space="preserve"> vyšší vypovídací hodnotou </w:t>
      </w:r>
      <w:r w:rsidR="00042BC8" w:rsidRPr="00B623F2">
        <w:rPr>
          <w:lang w:eastAsia="cs-CZ"/>
        </w:rPr>
        <w:t>jeví</w:t>
      </w:r>
      <w:r w:rsidR="00042BC8" w:rsidRPr="0070147B">
        <w:rPr>
          <w:b/>
          <w:lang w:eastAsia="cs-CZ"/>
        </w:rPr>
        <w:t xml:space="preserve"> procentuální míra priority vybraných témat</w:t>
      </w:r>
      <w:r w:rsidR="00042BC8" w:rsidRPr="0070147B">
        <w:rPr>
          <w:lang w:eastAsia="cs-CZ"/>
        </w:rPr>
        <w:t xml:space="preserve">. </w:t>
      </w:r>
    </w:p>
    <w:p w:rsidR="00042BC8" w:rsidRPr="00167044" w:rsidRDefault="009C3D75" w:rsidP="00042BC8">
      <w:pPr>
        <w:pStyle w:val="Bezmezer"/>
        <w:rPr>
          <w:lang w:eastAsia="cs-CZ"/>
        </w:rPr>
      </w:pPr>
      <w:r w:rsidRPr="009C3D75">
        <w:rPr>
          <w:lang w:eastAsia="cs-CZ"/>
        </w:rPr>
        <w:t>D</w:t>
      </w:r>
      <w:r w:rsidR="00042BC8" w:rsidRPr="009C3D75">
        <w:rPr>
          <w:lang w:eastAsia="cs-CZ"/>
        </w:rPr>
        <w:t>alší sebrané informace týkající se procentuálního podílu škol v rámci SO ORP KH narážejících na danou překážku</w:t>
      </w:r>
      <w:r>
        <w:rPr>
          <w:lang w:eastAsia="cs-CZ"/>
        </w:rPr>
        <w:t xml:space="preserve"> pak kromě finančního nedostatku a absenci materiálního zázemí zmiňují i nedovzdělanost kantorů</w:t>
      </w:r>
      <w:r w:rsidR="00042BC8" w:rsidRPr="009C3D75">
        <w:rPr>
          <w:lang w:eastAsia="cs-CZ"/>
        </w:rPr>
        <w:t xml:space="preserve">: </w:t>
      </w:r>
    </w:p>
    <w:p w:rsidR="00042BC8" w:rsidRPr="007456C5" w:rsidRDefault="007456C5" w:rsidP="00042BC8">
      <w:pPr>
        <w:pStyle w:val="Nzev"/>
        <w:numPr>
          <w:ilvl w:val="0"/>
          <w:numId w:val="33"/>
        </w:numPr>
        <w:rPr>
          <w:rFonts w:eastAsia="Times New Roman"/>
          <w:lang w:eastAsia="cs-CZ"/>
        </w:rPr>
      </w:pPr>
      <w:r w:rsidRPr="007456C5">
        <w:rPr>
          <w:rFonts w:eastAsia="Times New Roman"/>
          <w:lang w:eastAsia="cs-CZ"/>
        </w:rPr>
        <w:t>Nedostatek financí na úhradu vedení volitelných p</w:t>
      </w:r>
      <w:r w:rsidRPr="007456C5">
        <w:rPr>
          <w:rFonts w:eastAsia="Times New Roman" w:hint="eastAsia"/>
          <w:lang w:eastAsia="cs-CZ"/>
        </w:rPr>
        <w:t>ř</w:t>
      </w:r>
      <w:r w:rsidRPr="007456C5">
        <w:rPr>
          <w:rFonts w:eastAsia="Times New Roman"/>
          <w:lang w:eastAsia="cs-CZ"/>
        </w:rPr>
        <w:t>edm</w:t>
      </w:r>
      <w:r w:rsidRPr="007456C5">
        <w:rPr>
          <w:rFonts w:eastAsia="Times New Roman" w:hint="eastAsia"/>
          <w:lang w:eastAsia="cs-CZ"/>
        </w:rPr>
        <w:t>ě</w:t>
      </w:r>
      <w:r w:rsidRPr="007456C5">
        <w:rPr>
          <w:rFonts w:eastAsia="Times New Roman"/>
          <w:lang w:eastAsia="cs-CZ"/>
        </w:rPr>
        <w:t>t</w:t>
      </w:r>
      <w:r w:rsidRPr="007456C5">
        <w:rPr>
          <w:rFonts w:eastAsia="Times New Roman" w:hint="eastAsia"/>
          <w:lang w:eastAsia="cs-CZ"/>
        </w:rPr>
        <w:t>ů</w:t>
      </w:r>
      <w:r w:rsidRPr="007456C5">
        <w:rPr>
          <w:rFonts w:eastAsia="Times New Roman"/>
          <w:lang w:eastAsia="cs-CZ"/>
        </w:rPr>
        <w:t xml:space="preserve"> a kroužk</w:t>
      </w:r>
      <w:r w:rsidRPr="007456C5">
        <w:rPr>
          <w:rFonts w:eastAsia="Times New Roman" w:hint="eastAsia"/>
          <w:lang w:eastAsia="cs-CZ"/>
        </w:rPr>
        <w:t>ů</w:t>
      </w:r>
      <w:r w:rsidR="00042BC8" w:rsidRPr="007456C5">
        <w:rPr>
          <w:rFonts w:eastAsia="Times New Roman"/>
          <w:lang w:eastAsia="cs-CZ"/>
        </w:rPr>
        <w:t xml:space="preserve"> (</w:t>
      </w:r>
      <w:r w:rsidRPr="007456C5">
        <w:rPr>
          <w:rFonts w:eastAsia="Times New Roman"/>
          <w:lang w:eastAsia="cs-CZ"/>
        </w:rPr>
        <w:t>84,2</w:t>
      </w:r>
      <w:r w:rsidR="00042BC8" w:rsidRPr="007456C5">
        <w:rPr>
          <w:rFonts w:eastAsia="Times New Roman"/>
          <w:lang w:eastAsia="cs-CZ"/>
        </w:rPr>
        <w:t xml:space="preserve"> %)</w:t>
      </w:r>
    </w:p>
    <w:p w:rsidR="00A726BB" w:rsidRPr="007456C5" w:rsidRDefault="00A726BB" w:rsidP="00A726BB">
      <w:pPr>
        <w:pStyle w:val="Nzev"/>
        <w:numPr>
          <w:ilvl w:val="0"/>
          <w:numId w:val="33"/>
        </w:numPr>
        <w:rPr>
          <w:rFonts w:eastAsia="Times New Roman"/>
          <w:lang w:eastAsia="cs-CZ"/>
        </w:rPr>
      </w:pPr>
      <w:r w:rsidRPr="007456C5">
        <w:rPr>
          <w:rFonts w:eastAsia="Times New Roman"/>
          <w:lang w:eastAsia="cs-CZ"/>
        </w:rPr>
        <w:t>Nedostate</w:t>
      </w:r>
      <w:r w:rsidRPr="007456C5">
        <w:rPr>
          <w:rFonts w:eastAsia="Times New Roman" w:hint="eastAsia"/>
          <w:lang w:eastAsia="cs-CZ"/>
        </w:rPr>
        <w:t>č</w:t>
      </w:r>
      <w:r w:rsidRPr="007456C5">
        <w:rPr>
          <w:rFonts w:eastAsia="Times New Roman"/>
          <w:lang w:eastAsia="cs-CZ"/>
        </w:rPr>
        <w:t>né/neodpovídající prostory (78,9,2 %)</w:t>
      </w:r>
    </w:p>
    <w:p w:rsidR="00A726BB" w:rsidRPr="007456C5" w:rsidRDefault="00A726BB" w:rsidP="00A726BB">
      <w:pPr>
        <w:pStyle w:val="Nzev"/>
        <w:numPr>
          <w:ilvl w:val="0"/>
          <w:numId w:val="33"/>
        </w:numPr>
        <w:rPr>
          <w:rFonts w:eastAsia="Times New Roman"/>
          <w:lang w:eastAsia="cs-CZ"/>
        </w:rPr>
      </w:pPr>
      <w:r w:rsidRPr="00A726BB">
        <w:rPr>
          <w:rFonts w:eastAsia="Times New Roman"/>
          <w:lang w:eastAsia="cs-CZ"/>
        </w:rPr>
        <w:t xml:space="preserve">Nevhodné </w:t>
      </w:r>
      <w:r w:rsidRPr="00A726BB">
        <w:rPr>
          <w:rFonts w:eastAsia="Times New Roman" w:hint="eastAsia"/>
          <w:lang w:eastAsia="cs-CZ"/>
        </w:rPr>
        <w:t>č</w:t>
      </w:r>
      <w:r w:rsidRPr="00A726BB">
        <w:rPr>
          <w:rFonts w:eastAsia="Times New Roman"/>
          <w:lang w:eastAsia="cs-CZ"/>
        </w:rPr>
        <w:t>i žádné vybavení laborato</w:t>
      </w:r>
      <w:r w:rsidRPr="00A726BB">
        <w:rPr>
          <w:rFonts w:eastAsia="Times New Roman" w:hint="eastAsia"/>
          <w:lang w:eastAsia="cs-CZ"/>
        </w:rPr>
        <w:t>ří</w:t>
      </w:r>
      <w:r w:rsidRPr="00A726BB">
        <w:rPr>
          <w:rFonts w:eastAsia="Times New Roman"/>
          <w:lang w:eastAsia="cs-CZ"/>
        </w:rPr>
        <w:t>, odborných u</w:t>
      </w:r>
      <w:r w:rsidRPr="00A726BB">
        <w:rPr>
          <w:rFonts w:eastAsia="Times New Roman" w:hint="eastAsia"/>
          <w:lang w:eastAsia="cs-CZ"/>
        </w:rPr>
        <w:t>č</w:t>
      </w:r>
      <w:r w:rsidRPr="00A726BB">
        <w:rPr>
          <w:rFonts w:eastAsia="Times New Roman"/>
          <w:lang w:eastAsia="cs-CZ"/>
        </w:rPr>
        <w:t>eben, dílen apod.</w:t>
      </w:r>
      <w:r w:rsidRPr="007456C5">
        <w:rPr>
          <w:rFonts w:eastAsia="Times New Roman"/>
          <w:lang w:eastAsia="cs-CZ"/>
        </w:rPr>
        <w:t xml:space="preserve"> (78,9,2 %)</w:t>
      </w:r>
    </w:p>
    <w:p w:rsidR="00A726BB" w:rsidRPr="007456C5" w:rsidRDefault="00A726BB" w:rsidP="00A726BB">
      <w:pPr>
        <w:pStyle w:val="Nzev"/>
        <w:numPr>
          <w:ilvl w:val="0"/>
          <w:numId w:val="33"/>
        </w:numPr>
        <w:rPr>
          <w:rFonts w:eastAsia="Times New Roman"/>
          <w:lang w:eastAsia="cs-CZ"/>
        </w:rPr>
      </w:pPr>
      <w:r w:rsidRPr="00A726BB">
        <w:rPr>
          <w:rFonts w:eastAsia="Times New Roman"/>
          <w:lang w:eastAsia="cs-CZ"/>
        </w:rPr>
        <w:t>U</w:t>
      </w:r>
      <w:r w:rsidRPr="00A726BB">
        <w:rPr>
          <w:rFonts w:eastAsia="Times New Roman" w:hint="eastAsia"/>
          <w:lang w:eastAsia="cs-CZ"/>
        </w:rPr>
        <w:t>č</w:t>
      </w:r>
      <w:r w:rsidRPr="00A726BB">
        <w:rPr>
          <w:rFonts w:eastAsia="Times New Roman"/>
          <w:lang w:eastAsia="cs-CZ"/>
        </w:rPr>
        <w:t>itelé polytechnických p</w:t>
      </w:r>
      <w:r w:rsidRPr="00A726BB">
        <w:rPr>
          <w:rFonts w:eastAsia="Times New Roman" w:hint="eastAsia"/>
          <w:lang w:eastAsia="cs-CZ"/>
        </w:rPr>
        <w:t>ř</w:t>
      </w:r>
      <w:r w:rsidRPr="00A726BB">
        <w:rPr>
          <w:rFonts w:eastAsia="Times New Roman"/>
          <w:lang w:eastAsia="cs-CZ"/>
        </w:rPr>
        <w:t>edm</w:t>
      </w:r>
      <w:r w:rsidRPr="00A726BB">
        <w:rPr>
          <w:rFonts w:eastAsia="Times New Roman" w:hint="eastAsia"/>
          <w:lang w:eastAsia="cs-CZ"/>
        </w:rPr>
        <w:t>ě</w:t>
      </w:r>
      <w:r w:rsidRPr="00A726BB">
        <w:rPr>
          <w:rFonts w:eastAsia="Times New Roman"/>
          <w:lang w:eastAsia="cs-CZ"/>
        </w:rPr>
        <w:t>t</w:t>
      </w:r>
      <w:r w:rsidRPr="00A726BB">
        <w:rPr>
          <w:rFonts w:eastAsia="Times New Roman" w:hint="eastAsia"/>
          <w:lang w:eastAsia="cs-CZ"/>
        </w:rPr>
        <w:t>ů</w:t>
      </w:r>
      <w:r w:rsidRPr="00A726BB">
        <w:rPr>
          <w:rFonts w:eastAsia="Times New Roman"/>
          <w:lang w:eastAsia="cs-CZ"/>
        </w:rPr>
        <w:t xml:space="preserve"> nejsou jazykov</w:t>
      </w:r>
      <w:r w:rsidRPr="00A726BB">
        <w:rPr>
          <w:rFonts w:eastAsia="Times New Roman" w:hint="eastAsia"/>
          <w:lang w:eastAsia="cs-CZ"/>
        </w:rPr>
        <w:t>ě</w:t>
      </w:r>
      <w:r w:rsidRPr="00A726BB">
        <w:rPr>
          <w:rFonts w:eastAsia="Times New Roman"/>
          <w:lang w:eastAsia="cs-CZ"/>
        </w:rPr>
        <w:t xml:space="preserve"> vybaveni pro výuku v CLILL</w:t>
      </w:r>
      <w:r w:rsidRPr="007456C5">
        <w:rPr>
          <w:rFonts w:eastAsia="Times New Roman"/>
          <w:lang w:eastAsia="cs-CZ"/>
        </w:rPr>
        <w:t xml:space="preserve"> (78,9,2 %)</w:t>
      </w:r>
    </w:p>
    <w:p w:rsidR="009D1458" w:rsidRPr="006F0E36" w:rsidRDefault="009D1458" w:rsidP="009D1458">
      <w:pPr>
        <w:pStyle w:val="Bezmezer"/>
        <w:rPr>
          <w:u w:val="single"/>
        </w:rPr>
      </w:pPr>
      <w:r w:rsidRPr="009C3D75">
        <w:rPr>
          <w:u w:val="single"/>
        </w:rPr>
        <w:t xml:space="preserve">Podpora </w:t>
      </w:r>
      <w:r w:rsidRPr="006F0E36">
        <w:rPr>
          <w:u w:val="single"/>
        </w:rPr>
        <w:t>sociálních a občanských dovedností a dalších klíčových kompetencí</w:t>
      </w:r>
    </w:p>
    <w:p w:rsidR="009C3D75" w:rsidRPr="006F0E36" w:rsidRDefault="0041055E" w:rsidP="009C3D75">
      <w:pPr>
        <w:pStyle w:val="Bezmezer"/>
      </w:pPr>
      <w:r>
        <w:t xml:space="preserve">Oblast </w:t>
      </w:r>
      <w:r w:rsidRPr="006F0E36">
        <w:t xml:space="preserve">sociálních a občanských dovedností </w:t>
      </w:r>
      <w:r>
        <w:t xml:space="preserve">je teprve </w:t>
      </w:r>
      <w:r w:rsidRPr="008530A7">
        <w:t>třetí oblast</w:t>
      </w:r>
      <w:r>
        <w:t>í</w:t>
      </w:r>
      <w:r w:rsidRPr="008530A7">
        <w:t xml:space="preserve">, ve které </w:t>
      </w:r>
      <w:r w:rsidRPr="001E0436">
        <w:rPr>
          <w:b/>
        </w:rPr>
        <w:t>hodnota priority ani jednoho tématu v prvním období neklesla pod 60 %</w:t>
      </w:r>
      <w:r>
        <w:t xml:space="preserve"> (dalšími jsou čtenářská gramotnost a matematická gramotnost). </w:t>
      </w:r>
      <w:r w:rsidR="00534793" w:rsidRPr="006F0E36">
        <w:t>Z</w:t>
      </w:r>
      <w:r w:rsidR="009C3D75" w:rsidRPr="006F0E36">
        <w:t xml:space="preserve"> </w:t>
      </w:r>
      <w:r w:rsidR="00534793" w:rsidRPr="006F0E36">
        <w:t>dvanácti</w:t>
      </w:r>
      <w:r w:rsidR="009C3D75" w:rsidRPr="006F0E36">
        <w:t xml:space="preserve"> témat </w:t>
      </w:r>
      <w:r w:rsidR="006F0E36" w:rsidRPr="006F0E36">
        <w:t xml:space="preserve">oblasti </w:t>
      </w:r>
      <w:r w:rsidRPr="006F0E36">
        <w:t xml:space="preserve">patří </w:t>
      </w:r>
      <w:r w:rsidR="009C3D75" w:rsidRPr="006F0E36">
        <w:t xml:space="preserve">mezi </w:t>
      </w:r>
      <w:r w:rsidR="006F0E36" w:rsidRPr="006F0E36">
        <w:t>tři n</w:t>
      </w:r>
      <w:r w:rsidR="009C3D75" w:rsidRPr="006F0E36">
        <w:t>ejčastěji zmiňovaná tyto:</w:t>
      </w:r>
    </w:p>
    <w:p w:rsidR="006F0E36" w:rsidRPr="006F0E36" w:rsidRDefault="006F0E36" w:rsidP="006F0E36">
      <w:pPr>
        <w:pStyle w:val="Nzev"/>
        <w:numPr>
          <w:ilvl w:val="0"/>
          <w:numId w:val="32"/>
        </w:numPr>
        <w:rPr>
          <w:rFonts w:eastAsia="Times New Roman"/>
          <w:lang w:eastAsia="cs-CZ"/>
        </w:rPr>
      </w:pPr>
      <w:r w:rsidRPr="00534793">
        <w:rPr>
          <w:rFonts w:ascii="Calibri" w:eastAsia="Times New Roman" w:hAnsi="Calibri" w:cs="Times New Roman"/>
          <w:sz w:val="20"/>
          <w:szCs w:val="20"/>
          <w:lang w:eastAsia="cs-CZ"/>
        </w:rPr>
        <w:t>Škola u žáků rozvíjí schopnosti sebereflexe a sebehodnocen</w:t>
      </w:r>
      <w:r w:rsidRPr="006F0E36">
        <w:rPr>
          <w:rFonts w:ascii="Calibri" w:eastAsia="Times New Roman" w:hAnsi="Calibri" w:cs="Times New Roman"/>
          <w:sz w:val="20"/>
          <w:szCs w:val="20"/>
          <w:lang w:eastAsia="cs-CZ"/>
        </w:rPr>
        <w:t>í</w:t>
      </w:r>
      <w:r w:rsidRPr="006F0E36">
        <w:rPr>
          <w:rFonts w:eastAsia="Times New Roman"/>
          <w:lang w:eastAsia="cs-CZ"/>
        </w:rPr>
        <w:t xml:space="preserve"> (78,9 %)</w:t>
      </w:r>
    </w:p>
    <w:p w:rsidR="006F0E36" w:rsidRPr="006F0E36" w:rsidRDefault="006F0E36" w:rsidP="006F0E36">
      <w:pPr>
        <w:pStyle w:val="Nzev"/>
        <w:numPr>
          <w:ilvl w:val="0"/>
          <w:numId w:val="32"/>
        </w:numPr>
        <w:rPr>
          <w:rFonts w:eastAsia="Times New Roman"/>
          <w:lang w:eastAsia="cs-CZ"/>
        </w:rPr>
      </w:pPr>
      <w:r w:rsidRPr="00534793">
        <w:rPr>
          <w:rFonts w:ascii="Calibri" w:eastAsia="Times New Roman" w:hAnsi="Calibri" w:cs="Times New Roman"/>
          <w:sz w:val="20"/>
          <w:szCs w:val="20"/>
          <w:lang w:eastAsia="cs-CZ"/>
        </w:rPr>
        <w:t>Škola motivuje žáky k celoživotnímu učení</w:t>
      </w:r>
      <w:r w:rsidRPr="006F0E36">
        <w:rPr>
          <w:rFonts w:eastAsia="Times New Roman"/>
          <w:lang w:eastAsia="cs-CZ"/>
        </w:rPr>
        <w:t xml:space="preserve"> (78,9 %)</w:t>
      </w:r>
    </w:p>
    <w:p w:rsidR="006F0E36" w:rsidRPr="006F0E36" w:rsidRDefault="006F0E36" w:rsidP="006F0E36">
      <w:pPr>
        <w:pStyle w:val="Nzev"/>
        <w:numPr>
          <w:ilvl w:val="0"/>
          <w:numId w:val="32"/>
        </w:numPr>
        <w:rPr>
          <w:rFonts w:eastAsia="Times New Roman"/>
          <w:lang w:eastAsia="cs-CZ"/>
        </w:rPr>
      </w:pPr>
      <w:r w:rsidRPr="00534793">
        <w:rPr>
          <w:rFonts w:ascii="Calibri" w:eastAsia="Times New Roman" w:hAnsi="Calibri" w:cs="Times New Roman"/>
          <w:sz w:val="20"/>
          <w:szCs w:val="20"/>
          <w:lang w:eastAsia="cs-CZ"/>
        </w:rPr>
        <w:t>Škola rozvíjí schopnosti žáků učit se, zorganizovat si učení, využívat k tomu různé metody a možnosti podle vlastních potřeb (učit se samostatně, v rámci skupin apod.)</w:t>
      </w:r>
      <w:r w:rsidRPr="006F0E36">
        <w:rPr>
          <w:rFonts w:eastAsia="Times New Roman"/>
          <w:lang w:eastAsia="cs-CZ"/>
        </w:rPr>
        <w:t xml:space="preserve"> (78,9 %)</w:t>
      </w:r>
    </w:p>
    <w:p w:rsidR="005828A2" w:rsidRDefault="00D93990" w:rsidP="00534793">
      <w:pPr>
        <w:pStyle w:val="Bezmezer"/>
      </w:pPr>
      <w:r w:rsidRPr="001E0436">
        <w:rPr>
          <w:b/>
        </w:rPr>
        <w:t>Společným motivem</w:t>
      </w:r>
      <w:r>
        <w:t xml:space="preserve"> třech nejakutnějších </w:t>
      </w:r>
      <w:r w:rsidR="00BD4693">
        <w:t xml:space="preserve">témat </w:t>
      </w:r>
      <w:r>
        <w:t xml:space="preserve">(ale do velké míry i </w:t>
      </w:r>
      <w:r w:rsidR="00930EEF">
        <w:t xml:space="preserve">těch </w:t>
      </w:r>
      <w:r>
        <w:t>zbylých</w:t>
      </w:r>
      <w:r w:rsidR="00BD4693">
        <w:t xml:space="preserve">) </w:t>
      </w:r>
      <w:r>
        <w:t xml:space="preserve">je </w:t>
      </w:r>
      <w:r w:rsidRPr="001E0436">
        <w:rPr>
          <w:b/>
        </w:rPr>
        <w:t>osobnostní rozvoj žáka</w:t>
      </w:r>
      <w:r>
        <w:t xml:space="preserve">. Tedy ty </w:t>
      </w:r>
      <w:r w:rsidR="008C0D16">
        <w:t xml:space="preserve">(jak již bylo zmíněno výše v rámci analýzy MŠ) </w:t>
      </w:r>
      <w:r w:rsidRPr="001E0436">
        <w:rPr>
          <w:b/>
        </w:rPr>
        <w:t>nejhůře měřitelné</w:t>
      </w:r>
      <w:r w:rsidR="008C0D16">
        <w:rPr>
          <w:b/>
        </w:rPr>
        <w:t>, ale neméně podstatné</w:t>
      </w:r>
      <w:r>
        <w:t xml:space="preserve"> části celkové sumy, kterou by měl být každý absolvent základního školství vybaven.</w:t>
      </w:r>
      <w:r w:rsidR="00930EEF">
        <w:t xml:space="preserve"> </w:t>
      </w:r>
    </w:p>
    <w:p w:rsidR="009C3D75" w:rsidRPr="00534793" w:rsidRDefault="009C3D75" w:rsidP="009C3D75">
      <w:pPr>
        <w:pStyle w:val="Nadpis5"/>
      </w:pPr>
      <w:r w:rsidRPr="00534793">
        <w:t xml:space="preserve">Tabulka: </w:t>
      </w:r>
      <w:r w:rsidR="00534793" w:rsidRPr="00534793">
        <w:t>Sociální a občanské dovednosti</w:t>
      </w:r>
    </w:p>
    <w:tbl>
      <w:tblPr>
        <w:tblW w:w="9089" w:type="dxa"/>
        <w:tblInd w:w="53" w:type="dxa"/>
        <w:tblLayout w:type="fixed"/>
        <w:tblCellMar>
          <w:left w:w="70" w:type="dxa"/>
          <w:right w:w="70" w:type="dxa"/>
        </w:tblCellMar>
        <w:tblLook w:val="04A0"/>
      </w:tblPr>
      <w:tblGrid>
        <w:gridCol w:w="4695"/>
        <w:gridCol w:w="1134"/>
        <w:gridCol w:w="1134"/>
        <w:gridCol w:w="992"/>
        <w:gridCol w:w="567"/>
        <w:gridCol w:w="567"/>
      </w:tblGrid>
      <w:tr w:rsidR="00534793" w:rsidRPr="00534793" w:rsidTr="00DF4192">
        <w:trPr>
          <w:trHeight w:val="227"/>
        </w:trPr>
        <w:tc>
          <w:tcPr>
            <w:tcW w:w="4695" w:type="dxa"/>
            <w:vMerge w:val="restart"/>
            <w:tcBorders>
              <w:bottom w:val="single" w:sz="4" w:space="0" w:color="000000"/>
              <w:right w:val="single" w:sz="4" w:space="0" w:color="auto"/>
            </w:tcBorders>
            <w:shd w:val="clear" w:color="000000" w:fill="FAC090"/>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 </w:t>
            </w:r>
          </w:p>
        </w:tc>
        <w:tc>
          <w:tcPr>
            <w:tcW w:w="2268" w:type="dxa"/>
            <w:gridSpan w:val="2"/>
            <w:tcBorders>
              <w:left w:val="nil"/>
              <w:bottom w:val="nil"/>
              <w:right w:val="single" w:sz="4" w:space="0" w:color="000000"/>
            </w:tcBorders>
            <w:shd w:val="clear" w:color="000000" w:fill="FAC090"/>
            <w:vAlign w:val="bottom"/>
            <w:hideMark/>
          </w:tcPr>
          <w:p w:rsidR="00534793" w:rsidRPr="00534793" w:rsidRDefault="00534793" w:rsidP="00B554CA">
            <w:pPr>
              <w:pStyle w:val="Nzev"/>
              <w:jc w:val="center"/>
              <w:rPr>
                <w:rFonts w:eastAsia="Times New Roman"/>
                <w:lang w:eastAsia="cs-CZ"/>
              </w:rPr>
            </w:pPr>
            <w:r w:rsidRPr="00534793">
              <w:rPr>
                <w:rFonts w:eastAsia="Times New Roman"/>
                <w:lang w:eastAsia="cs-CZ"/>
              </w:rPr>
              <w:t xml:space="preserve">Podíl ZŠ v rámci </w:t>
            </w:r>
            <w:r w:rsidR="007C0302" w:rsidRPr="00377547">
              <w:rPr>
                <w:rFonts w:eastAsia="Times New Roman"/>
                <w:lang w:eastAsia="cs-CZ"/>
              </w:rPr>
              <w:t xml:space="preserve">SO </w:t>
            </w:r>
            <w:r w:rsidRPr="00534793">
              <w:rPr>
                <w:rFonts w:eastAsia="Times New Roman"/>
                <w:lang w:eastAsia="cs-CZ"/>
              </w:rPr>
              <w:t>ORP plánujících zlepšení</w:t>
            </w:r>
          </w:p>
        </w:tc>
        <w:tc>
          <w:tcPr>
            <w:tcW w:w="2126" w:type="dxa"/>
            <w:gridSpan w:val="3"/>
            <w:tcBorders>
              <w:left w:val="nil"/>
              <w:bottom w:val="nil"/>
            </w:tcBorders>
            <w:shd w:val="clear" w:color="000000" w:fill="FAC090"/>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Průměrné hodnocení aktuálního stavu</w:t>
            </w:r>
          </w:p>
        </w:tc>
      </w:tr>
      <w:tr w:rsidR="007C0302" w:rsidRPr="00377547" w:rsidTr="00DF4192">
        <w:trPr>
          <w:trHeight w:val="227"/>
        </w:trPr>
        <w:tc>
          <w:tcPr>
            <w:tcW w:w="4695" w:type="dxa"/>
            <w:vMerge/>
            <w:tcBorders>
              <w:top w:val="single" w:sz="8" w:space="0" w:color="auto"/>
              <w:bottom w:val="single" w:sz="4" w:space="0" w:color="000000"/>
              <w:right w:val="single" w:sz="4" w:space="0" w:color="auto"/>
            </w:tcBorders>
            <w:vAlign w:val="center"/>
            <w:hideMark/>
          </w:tcPr>
          <w:p w:rsidR="00534793" w:rsidRPr="00534793" w:rsidRDefault="00534793" w:rsidP="00B554CA">
            <w:pPr>
              <w:pStyle w:val="Nzev"/>
              <w:jc w:val="left"/>
              <w:rPr>
                <w:rFonts w:eastAsia="Times New Roman"/>
                <w:lang w:eastAsia="cs-CZ"/>
              </w:rPr>
            </w:pP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2016–18</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2019–20</w:t>
            </w:r>
          </w:p>
        </w:tc>
        <w:tc>
          <w:tcPr>
            <w:tcW w:w="992" w:type="dxa"/>
            <w:tcBorders>
              <w:top w:val="single" w:sz="4" w:space="0" w:color="auto"/>
              <w:left w:val="nil"/>
              <w:bottom w:val="single" w:sz="4" w:space="0" w:color="auto"/>
              <w:right w:val="nil"/>
            </w:tcBorders>
            <w:shd w:val="clear" w:color="000000" w:fill="FAC090"/>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SO ORP</w:t>
            </w:r>
          </w:p>
        </w:tc>
        <w:tc>
          <w:tcPr>
            <w:tcW w:w="567" w:type="dxa"/>
            <w:tcBorders>
              <w:top w:val="single" w:sz="4" w:space="0" w:color="auto"/>
              <w:left w:val="single" w:sz="4" w:space="0" w:color="auto"/>
              <w:bottom w:val="single" w:sz="4" w:space="0" w:color="auto"/>
              <w:right w:val="single" w:sz="4" w:space="0" w:color="000000"/>
            </w:tcBorders>
            <w:shd w:val="clear" w:color="000000" w:fill="FAC090"/>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kraj</w:t>
            </w:r>
          </w:p>
        </w:tc>
        <w:tc>
          <w:tcPr>
            <w:tcW w:w="567" w:type="dxa"/>
            <w:tcBorders>
              <w:top w:val="single" w:sz="4" w:space="0" w:color="auto"/>
              <w:left w:val="nil"/>
              <w:bottom w:val="single" w:sz="4" w:space="0" w:color="auto"/>
            </w:tcBorders>
            <w:shd w:val="clear" w:color="000000" w:fill="FAC090"/>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ČR</w:t>
            </w:r>
          </w:p>
        </w:tc>
      </w:tr>
      <w:tr w:rsidR="007C0302" w:rsidRPr="00377547" w:rsidTr="00DF4192">
        <w:trPr>
          <w:trHeight w:val="227"/>
        </w:trPr>
        <w:tc>
          <w:tcPr>
            <w:tcW w:w="4695" w:type="dxa"/>
            <w:tcBorders>
              <w:top w:val="nil"/>
              <w:bottom w:val="nil"/>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Ve škole je pěstována kultura komunikace mezi všemi účastníky vzdělávání</w:t>
            </w:r>
          </w:p>
        </w:tc>
        <w:tc>
          <w:tcPr>
            <w:tcW w:w="1134" w:type="dxa"/>
            <w:tcBorders>
              <w:top w:val="nil"/>
              <w:left w:val="nil"/>
              <w:bottom w:val="nil"/>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73,7%</w:t>
            </w:r>
          </w:p>
        </w:tc>
        <w:tc>
          <w:tcPr>
            <w:tcW w:w="1134" w:type="dxa"/>
            <w:tcBorders>
              <w:top w:val="nil"/>
              <w:left w:val="nil"/>
              <w:bottom w:val="nil"/>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5,3%</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3,21</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3,07</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3,05</w:t>
            </w:r>
          </w:p>
        </w:tc>
      </w:tr>
      <w:tr w:rsidR="007C0302" w:rsidRPr="00377547" w:rsidTr="00DF4192">
        <w:trPr>
          <w:trHeight w:val="227"/>
        </w:trPr>
        <w:tc>
          <w:tcPr>
            <w:tcW w:w="4695" w:type="dxa"/>
            <w:tcBorders>
              <w:top w:val="single" w:sz="4" w:space="0" w:color="auto"/>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Ve škole je pěstováno kulturní povědomí a kulturní komunikace (tj. rozvoj tvůrčího vyjadřování myšlenek, zážitků a emocí různými formami využitím hudby, divadelního umění, literatury a vizuálního umění)</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63,2%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3,16</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2,85</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2,81</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 xml:space="preserve">Škola buduje povědomí o etických hodnotách, má </w:t>
            </w:r>
            <w:proofErr w:type="spellStart"/>
            <w:r w:rsidRPr="00534793">
              <w:rPr>
                <w:rFonts w:eastAsia="Times New Roman"/>
                <w:lang w:eastAsia="cs-CZ"/>
              </w:rPr>
              <w:t>form</w:t>
            </w:r>
            <w:proofErr w:type="spellEnd"/>
            <w:r w:rsidR="00541F23">
              <w:rPr>
                <w:rFonts w:eastAsia="Times New Roman"/>
                <w:lang w:eastAsia="cs-CZ"/>
              </w:rPr>
              <w:t>.</w:t>
            </w:r>
            <w:r w:rsidRPr="00534793">
              <w:rPr>
                <w:rFonts w:eastAsia="Times New Roman"/>
                <w:lang w:eastAsia="cs-CZ"/>
              </w:rPr>
              <w:t xml:space="preserve"> i </w:t>
            </w:r>
            <w:proofErr w:type="spellStart"/>
            <w:r w:rsidRPr="00534793">
              <w:rPr>
                <w:rFonts w:eastAsia="Times New Roman"/>
                <w:lang w:eastAsia="cs-CZ"/>
              </w:rPr>
              <w:t>nefor</w:t>
            </w:r>
            <w:r w:rsidR="00541F23">
              <w:rPr>
                <w:rFonts w:eastAsia="Times New Roman"/>
                <w:lang w:eastAsia="cs-CZ"/>
              </w:rPr>
              <w:t>m</w:t>
            </w:r>
            <w:proofErr w:type="spellEnd"/>
            <w:r w:rsidR="00541F23">
              <w:rPr>
                <w:rFonts w:eastAsia="Times New Roman"/>
                <w:lang w:eastAsia="cs-CZ"/>
              </w:rPr>
              <w:t>.</w:t>
            </w:r>
            <w:r w:rsidRPr="00534793">
              <w:rPr>
                <w:rFonts w:eastAsia="Times New Roman"/>
                <w:lang w:eastAsia="cs-CZ"/>
              </w:rPr>
              <w:t xml:space="preserve"> nastavená a sdílená spravedlivá pravidla společenského chování a komunikace, která se dodržují</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73,7%</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15,8%</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3,16</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3,02</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3,00</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Žáci jsou vedeni ke konstruktivním debatám</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73,7%</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15,8%</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3,05</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2,78</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2,70</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Uvnitř školy se pěstuje vzájemná spolupráce učitele, rodičů a žáků</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73,7%</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3,11</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2,98</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2,98</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Škola u žáků rozvíjí schopnosti sebereflexe a sebehodnocení</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78,9%</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2,95</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2,80</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2,75</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Škola motivuje žáky k celoživotnímu učení</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78,9%</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3,00</w:t>
            </w:r>
          </w:p>
        </w:tc>
        <w:tc>
          <w:tcPr>
            <w:tcW w:w="567" w:type="dxa"/>
            <w:tcBorders>
              <w:top w:val="single" w:sz="4" w:space="0" w:color="auto"/>
              <w:left w:val="nil"/>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2,79</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2,75</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Škola rozvíjí schopnost říct si o pomoc a ochotu nabídnout a poskytnout pomoc</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73,7%</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3,00</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2,97</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2,93</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Škola učí používat jistě a bezpečně informační, komunikační a další technologie</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73,7%</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3,11</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2,95</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2,92</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 xml:space="preserve">Škola rozvíjí schopnosti žáků učit se, zorganizovat si učení, využívat k tomu různé metody a možnosti </w:t>
            </w:r>
            <w:r w:rsidRPr="00534793">
              <w:rPr>
                <w:rFonts w:eastAsia="Times New Roman"/>
                <w:lang w:eastAsia="cs-CZ"/>
              </w:rPr>
              <w:lastRenderedPageBreak/>
              <w:t>podle vlastních potřeb (učit se samostatně, v rámci skupin apod.)</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lastRenderedPageBreak/>
              <w:t>78,9%</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3,11</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2,77</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2,77</w:t>
            </w:r>
          </w:p>
        </w:tc>
      </w:tr>
      <w:tr w:rsidR="007C0302" w:rsidRPr="00377547" w:rsidTr="00DF4192">
        <w:trPr>
          <w:trHeight w:val="227"/>
        </w:trPr>
        <w:tc>
          <w:tcPr>
            <w:tcW w:w="4695" w:type="dxa"/>
            <w:tcBorders>
              <w:top w:val="nil"/>
              <w:bottom w:val="single" w:sz="4" w:space="0" w:color="auto"/>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lastRenderedPageBreak/>
              <w:t>Výuka podporuje zapojení žáků do společenského a pracovního života</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68,4%</w:t>
            </w:r>
          </w:p>
        </w:tc>
        <w:tc>
          <w:tcPr>
            <w:tcW w:w="1134" w:type="dxa"/>
            <w:tcBorders>
              <w:top w:val="nil"/>
              <w:left w:val="nil"/>
              <w:bottom w:val="single" w:sz="4" w:space="0" w:color="auto"/>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3,00</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2,82</w:t>
            </w:r>
          </w:p>
        </w:tc>
        <w:tc>
          <w:tcPr>
            <w:tcW w:w="567" w:type="dxa"/>
            <w:tcBorders>
              <w:top w:val="single" w:sz="4" w:space="0" w:color="auto"/>
              <w:left w:val="nil"/>
              <w:bottom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2,80</w:t>
            </w:r>
          </w:p>
        </w:tc>
      </w:tr>
      <w:tr w:rsidR="007C0302" w:rsidRPr="00377547" w:rsidTr="00DF4192">
        <w:trPr>
          <w:trHeight w:val="227"/>
        </w:trPr>
        <w:tc>
          <w:tcPr>
            <w:tcW w:w="4695" w:type="dxa"/>
            <w:tcBorders>
              <w:top w:val="nil"/>
              <w:right w:val="single" w:sz="4" w:space="0" w:color="auto"/>
            </w:tcBorders>
            <w:shd w:val="clear" w:color="auto" w:fill="auto"/>
            <w:vAlign w:val="center"/>
            <w:hideMark/>
          </w:tcPr>
          <w:p w:rsidR="00534793" w:rsidRPr="00534793" w:rsidRDefault="00534793" w:rsidP="00B554CA">
            <w:pPr>
              <w:pStyle w:val="Nzev"/>
              <w:jc w:val="left"/>
              <w:rPr>
                <w:rFonts w:eastAsia="Times New Roman"/>
                <w:lang w:eastAsia="cs-CZ"/>
              </w:rPr>
            </w:pPr>
            <w:r w:rsidRPr="00534793">
              <w:rPr>
                <w:rFonts w:eastAsia="Times New Roman"/>
                <w:lang w:eastAsia="cs-CZ"/>
              </w:rPr>
              <w:t>Škola připravuje žáky na aktivní zapojení do života v demokratické společnosti, rozvíjí občanské kompetence (např. formou žákovské samosprávy apod.)</w:t>
            </w:r>
          </w:p>
        </w:tc>
        <w:tc>
          <w:tcPr>
            <w:tcW w:w="1134" w:type="dxa"/>
            <w:tcBorders>
              <w:top w:val="nil"/>
              <w:left w:val="nil"/>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68,4%</w:t>
            </w:r>
          </w:p>
        </w:tc>
        <w:tc>
          <w:tcPr>
            <w:tcW w:w="1134" w:type="dxa"/>
            <w:tcBorders>
              <w:top w:val="nil"/>
              <w:left w:val="nil"/>
              <w:right w:val="single" w:sz="4" w:space="0" w:color="auto"/>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10,5%</w:t>
            </w:r>
          </w:p>
        </w:tc>
        <w:tc>
          <w:tcPr>
            <w:tcW w:w="992" w:type="dxa"/>
            <w:tcBorders>
              <w:top w:val="single" w:sz="4" w:space="0" w:color="auto"/>
              <w:left w:val="nil"/>
              <w:right w:val="nil"/>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3,05</w:t>
            </w:r>
          </w:p>
        </w:tc>
        <w:tc>
          <w:tcPr>
            <w:tcW w:w="567" w:type="dxa"/>
            <w:tcBorders>
              <w:top w:val="single" w:sz="4" w:space="0" w:color="auto"/>
              <w:left w:val="single" w:sz="4" w:space="0" w:color="auto"/>
              <w:right w:val="single" w:sz="4" w:space="0" w:color="000000"/>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2,69</w:t>
            </w:r>
          </w:p>
        </w:tc>
        <w:tc>
          <w:tcPr>
            <w:tcW w:w="567" w:type="dxa"/>
            <w:tcBorders>
              <w:top w:val="single" w:sz="4" w:space="0" w:color="auto"/>
              <w:left w:val="nil"/>
            </w:tcBorders>
            <w:shd w:val="clear" w:color="000000" w:fill="FFFFFF"/>
            <w:vAlign w:val="center"/>
            <w:hideMark/>
          </w:tcPr>
          <w:p w:rsidR="00534793" w:rsidRPr="00534793" w:rsidRDefault="00534793" w:rsidP="00B554CA">
            <w:pPr>
              <w:pStyle w:val="Nzev"/>
              <w:jc w:val="center"/>
              <w:rPr>
                <w:rFonts w:eastAsia="Times New Roman"/>
                <w:lang w:eastAsia="cs-CZ"/>
              </w:rPr>
            </w:pPr>
            <w:r w:rsidRPr="00534793">
              <w:rPr>
                <w:rFonts w:eastAsia="Times New Roman"/>
                <w:lang w:eastAsia="cs-CZ"/>
              </w:rPr>
              <w:t>2,61</w:t>
            </w:r>
          </w:p>
        </w:tc>
      </w:tr>
    </w:tbl>
    <w:p w:rsidR="005828A2" w:rsidRDefault="005828A2" w:rsidP="009C3D75">
      <w:pPr>
        <w:pStyle w:val="Bezmezer"/>
        <w:rPr>
          <w:lang w:eastAsia="cs-CZ"/>
        </w:rPr>
      </w:pPr>
      <w:r w:rsidRPr="00F51461">
        <w:rPr>
          <w:lang w:eastAsia="cs-CZ"/>
        </w:rPr>
        <w:t>Z</w:t>
      </w:r>
      <w:r w:rsidR="00947A93">
        <w:rPr>
          <w:lang w:eastAsia="cs-CZ"/>
        </w:rPr>
        <w:t xml:space="preserve">e stejnoměrně </w:t>
      </w:r>
      <w:r w:rsidR="008439F3">
        <w:rPr>
          <w:lang w:eastAsia="cs-CZ"/>
        </w:rPr>
        <w:t xml:space="preserve">vyššího </w:t>
      </w:r>
      <w:r w:rsidR="00F51461">
        <w:rPr>
          <w:lang w:eastAsia="cs-CZ"/>
        </w:rPr>
        <w:t>procentuálního vyjádření zájmu škol o rozvoj dané oblasti i z její obtížné uchopitelnosti by se tedy zdálo, že</w:t>
      </w:r>
      <w:r w:rsidR="00A70E6B">
        <w:rPr>
          <w:lang w:eastAsia="cs-CZ"/>
        </w:rPr>
        <w:t xml:space="preserve"> školy </w:t>
      </w:r>
      <w:r w:rsidR="00947A93">
        <w:rPr>
          <w:lang w:eastAsia="cs-CZ"/>
        </w:rPr>
        <w:t xml:space="preserve">mají v dané oblasti mezery, tápou a tuto skutečnost si uvědomují. Průměrné hodnocení aktuálního stavu však naznačuje pravý opak. Na všech třech úrovních pozorování dosahují čísla nadprůměrně vysokých hodnot a v případě </w:t>
      </w:r>
      <w:r w:rsidR="00947A93" w:rsidRPr="006B37A5">
        <w:rPr>
          <w:b/>
          <w:lang w:eastAsia="cs-CZ"/>
        </w:rPr>
        <w:t xml:space="preserve">SO ORP Kutná Hora je průměr </w:t>
      </w:r>
      <w:r w:rsidR="00BE4103" w:rsidRPr="006B37A5">
        <w:rPr>
          <w:b/>
          <w:lang w:eastAsia="cs-CZ"/>
        </w:rPr>
        <w:t xml:space="preserve">všech </w:t>
      </w:r>
      <w:r w:rsidR="00947A93" w:rsidRPr="006B37A5">
        <w:rPr>
          <w:b/>
          <w:lang w:eastAsia="cs-CZ"/>
        </w:rPr>
        <w:t>hodnocení daných témat vůbec nejvyšší ze všech oblastí</w:t>
      </w:r>
      <w:r w:rsidR="00BE4103" w:rsidRPr="006B37A5">
        <w:rPr>
          <w:b/>
          <w:lang w:eastAsia="cs-CZ"/>
        </w:rPr>
        <w:t>, které byly zpracovávány</w:t>
      </w:r>
      <w:r w:rsidR="00947A93">
        <w:rPr>
          <w:lang w:eastAsia="cs-CZ"/>
        </w:rPr>
        <w:t xml:space="preserve"> (3,1)! </w:t>
      </w:r>
    </w:p>
    <w:p w:rsidR="001A2420" w:rsidRPr="003034C8" w:rsidRDefault="001A2420" w:rsidP="009C3D75">
      <w:pPr>
        <w:pStyle w:val="Bezmezer"/>
        <w:rPr>
          <w:lang w:eastAsia="cs-CZ"/>
        </w:rPr>
      </w:pPr>
      <w:r>
        <w:rPr>
          <w:lang w:eastAsia="cs-CZ"/>
        </w:rPr>
        <w:t>Opět se tedy dostáváme k rozporu „plánovaná zlepšení X aktuální stav“</w:t>
      </w:r>
      <w:r w:rsidR="002F1087">
        <w:rPr>
          <w:lang w:eastAsia="cs-CZ"/>
        </w:rPr>
        <w:t xml:space="preserve">, kdy neplatí na první pohled logická nepřímá úměra (vysoká hodnota jednoho znamená nízkou hodnotu druhého). </w:t>
      </w:r>
      <w:r>
        <w:rPr>
          <w:lang w:eastAsia="cs-CZ"/>
        </w:rPr>
        <w:t xml:space="preserve">ZŠ </w:t>
      </w:r>
      <w:r w:rsidR="002F1087">
        <w:rPr>
          <w:lang w:eastAsia="cs-CZ"/>
        </w:rPr>
        <w:t xml:space="preserve">tedy mají </w:t>
      </w:r>
      <w:r w:rsidR="006B37A5">
        <w:rPr>
          <w:lang w:eastAsia="cs-CZ"/>
        </w:rPr>
        <w:t>zřejmě dojem</w:t>
      </w:r>
      <w:r w:rsidR="002F1087">
        <w:rPr>
          <w:lang w:eastAsia="cs-CZ"/>
        </w:rPr>
        <w:t>, že v rámci mezí činí nejvíc, co se dá, ale zároveň cítí</w:t>
      </w:r>
      <w:r w:rsidRPr="00C2575F">
        <w:rPr>
          <w:b/>
          <w:lang w:eastAsia="cs-CZ"/>
        </w:rPr>
        <w:t>, že</w:t>
      </w:r>
      <w:r w:rsidR="002F1087">
        <w:rPr>
          <w:b/>
          <w:lang w:eastAsia="cs-CZ"/>
        </w:rPr>
        <w:t xml:space="preserve"> za předpokladu </w:t>
      </w:r>
      <w:r w:rsidR="006B37A5">
        <w:rPr>
          <w:b/>
          <w:lang w:eastAsia="cs-CZ"/>
        </w:rPr>
        <w:t>větších</w:t>
      </w:r>
      <w:r w:rsidRPr="00C2575F">
        <w:rPr>
          <w:b/>
          <w:lang w:eastAsia="cs-CZ"/>
        </w:rPr>
        <w:t xml:space="preserve"> finanční</w:t>
      </w:r>
      <w:r w:rsidR="002F1087">
        <w:rPr>
          <w:b/>
          <w:lang w:eastAsia="cs-CZ"/>
        </w:rPr>
        <w:t>ch</w:t>
      </w:r>
      <w:r w:rsidRPr="00C2575F">
        <w:rPr>
          <w:b/>
          <w:lang w:eastAsia="cs-CZ"/>
        </w:rPr>
        <w:t xml:space="preserve"> pr</w:t>
      </w:r>
      <w:r w:rsidR="002F1087">
        <w:rPr>
          <w:b/>
          <w:lang w:eastAsia="cs-CZ"/>
        </w:rPr>
        <w:t>ostředků</w:t>
      </w:r>
      <w:r w:rsidRPr="00C2575F">
        <w:rPr>
          <w:b/>
          <w:lang w:eastAsia="cs-CZ"/>
        </w:rPr>
        <w:t xml:space="preserve">, </w:t>
      </w:r>
      <w:r w:rsidR="006B37A5">
        <w:rPr>
          <w:b/>
          <w:lang w:eastAsia="cs-CZ"/>
        </w:rPr>
        <w:t xml:space="preserve">vyšších </w:t>
      </w:r>
      <w:r w:rsidRPr="00C2575F">
        <w:rPr>
          <w:b/>
          <w:lang w:eastAsia="cs-CZ"/>
        </w:rPr>
        <w:t>personální</w:t>
      </w:r>
      <w:r w:rsidR="002F1087">
        <w:rPr>
          <w:b/>
          <w:lang w:eastAsia="cs-CZ"/>
        </w:rPr>
        <w:t>ch kapacit,</w:t>
      </w:r>
      <w:r w:rsidRPr="00C2575F">
        <w:rPr>
          <w:b/>
          <w:lang w:eastAsia="cs-CZ"/>
        </w:rPr>
        <w:t xml:space="preserve"> </w:t>
      </w:r>
      <w:r w:rsidR="006B37A5">
        <w:rPr>
          <w:b/>
          <w:lang w:eastAsia="cs-CZ"/>
        </w:rPr>
        <w:t xml:space="preserve">rozsáhlejší </w:t>
      </w:r>
      <w:r w:rsidR="002F1087">
        <w:rPr>
          <w:b/>
          <w:lang w:eastAsia="cs-CZ"/>
        </w:rPr>
        <w:t xml:space="preserve">systémové podpory i celkové širší osvěty by se dalo </w:t>
      </w:r>
      <w:r w:rsidR="002F1087" w:rsidRPr="003034C8">
        <w:rPr>
          <w:b/>
          <w:lang w:eastAsia="cs-CZ"/>
        </w:rPr>
        <w:t>dělat mnohem více.</w:t>
      </w:r>
      <w:r w:rsidR="00980B74">
        <w:rPr>
          <w:b/>
          <w:lang w:eastAsia="cs-CZ"/>
        </w:rPr>
        <w:t xml:space="preserve"> </w:t>
      </w:r>
    </w:p>
    <w:p w:rsidR="009D1458" w:rsidRPr="003034C8" w:rsidRDefault="009D1458" w:rsidP="009D1458">
      <w:pPr>
        <w:pStyle w:val="Bezmezer"/>
        <w:rPr>
          <w:u w:val="single"/>
        </w:rPr>
      </w:pPr>
      <w:r w:rsidRPr="003034C8">
        <w:rPr>
          <w:u w:val="single"/>
        </w:rPr>
        <w:t>Podpora digitálních kompetencí pedagogických pracovníků</w:t>
      </w:r>
    </w:p>
    <w:p w:rsidR="003034C8" w:rsidRPr="00470DBC" w:rsidRDefault="00CE61E1" w:rsidP="003034C8">
      <w:pPr>
        <w:pStyle w:val="Bezmezer"/>
      </w:pPr>
      <w:r>
        <w:t>Digitálním kompetencím pedagogických pracovníků je zřizovateli škol přiřazena celkově relativně nízká důležitost, což je patrné z celkového průměru</w:t>
      </w:r>
      <w:r w:rsidR="00470DBC">
        <w:t xml:space="preserve"> </w:t>
      </w:r>
      <w:r>
        <w:t>podílů ZŠ, které plánují v dané oblasti zlepšení</w:t>
      </w:r>
      <w:r w:rsidR="00470DBC">
        <w:t xml:space="preserve"> (65 %)</w:t>
      </w:r>
      <w:r w:rsidR="006B12DD">
        <w:t xml:space="preserve">. </w:t>
      </w:r>
      <w:r w:rsidR="006B12DD" w:rsidRPr="006B12DD">
        <w:t xml:space="preserve">V rámci </w:t>
      </w:r>
      <w:r w:rsidR="00933188" w:rsidRPr="006B12DD">
        <w:t>sedmi</w:t>
      </w:r>
      <w:r w:rsidR="003034C8" w:rsidRPr="006B12DD">
        <w:t xml:space="preserve"> témat potom mezi ty </w:t>
      </w:r>
      <w:r w:rsidR="006B12DD" w:rsidRPr="006B12DD">
        <w:t xml:space="preserve">s nejvyšší procentuální hodnotou </w:t>
      </w:r>
      <w:r w:rsidR="003034C8" w:rsidRPr="006B12DD">
        <w:t>patří:</w:t>
      </w:r>
    </w:p>
    <w:p w:rsidR="00470DBC" w:rsidRPr="00470DBC" w:rsidRDefault="00470DBC" w:rsidP="00470DBC">
      <w:pPr>
        <w:pStyle w:val="Nzev"/>
        <w:numPr>
          <w:ilvl w:val="0"/>
          <w:numId w:val="32"/>
        </w:numPr>
        <w:rPr>
          <w:rFonts w:eastAsia="Times New Roman"/>
          <w:lang w:eastAsia="cs-CZ"/>
        </w:rPr>
      </w:pPr>
      <w:r w:rsidRPr="00933188">
        <w:rPr>
          <w:rFonts w:ascii="Calibri" w:eastAsia="Times New Roman" w:hAnsi="Calibri" w:cs="Times New Roman"/>
          <w:sz w:val="20"/>
          <w:szCs w:val="20"/>
          <w:lang w:eastAsia="cs-CZ"/>
        </w:rPr>
        <w:t>Pedagogové využívají pro výuku volně dostupné, bezpečné, otevřené internetové zdroje</w:t>
      </w:r>
      <w:r w:rsidRPr="00470DBC">
        <w:rPr>
          <w:rFonts w:eastAsia="Times New Roman"/>
          <w:lang w:eastAsia="cs-CZ"/>
        </w:rPr>
        <w:t xml:space="preserve"> (73,7 %)</w:t>
      </w:r>
    </w:p>
    <w:p w:rsidR="00470DBC" w:rsidRPr="00470DBC" w:rsidRDefault="00470DBC" w:rsidP="00470DBC">
      <w:pPr>
        <w:pStyle w:val="Nzev"/>
        <w:numPr>
          <w:ilvl w:val="0"/>
          <w:numId w:val="32"/>
        </w:numPr>
        <w:rPr>
          <w:rFonts w:eastAsia="Times New Roman"/>
          <w:lang w:eastAsia="cs-CZ"/>
        </w:rPr>
      </w:pPr>
      <w:r w:rsidRPr="00933188">
        <w:rPr>
          <w:rFonts w:ascii="Calibri" w:eastAsia="Times New Roman" w:hAnsi="Calibri" w:cs="Times New Roman"/>
          <w:sz w:val="20"/>
          <w:szCs w:val="20"/>
          <w:lang w:eastAsia="cs-CZ"/>
        </w:rPr>
        <w:t>Pedagogové se orientují v rámci svého předmětu ve volně dostupných zdrojích na internetu</w:t>
      </w:r>
      <w:r w:rsidRPr="00470DBC">
        <w:rPr>
          <w:rFonts w:eastAsia="Times New Roman"/>
          <w:lang w:eastAsia="cs-CZ"/>
        </w:rPr>
        <w:t xml:space="preserve"> (73,7 %)</w:t>
      </w:r>
    </w:p>
    <w:p w:rsidR="00470DBC" w:rsidRPr="00470DBC" w:rsidRDefault="00470DBC" w:rsidP="00470DBC">
      <w:pPr>
        <w:pStyle w:val="Nzev"/>
        <w:numPr>
          <w:ilvl w:val="0"/>
          <w:numId w:val="32"/>
        </w:numPr>
        <w:rPr>
          <w:rFonts w:eastAsia="Times New Roman"/>
          <w:lang w:eastAsia="cs-CZ"/>
        </w:rPr>
      </w:pPr>
      <w:r w:rsidRPr="00933188">
        <w:rPr>
          <w:rFonts w:ascii="Calibri" w:eastAsia="Times New Roman" w:hAnsi="Calibri" w:cs="Times New Roman"/>
          <w:sz w:val="20"/>
          <w:szCs w:val="20"/>
          <w:lang w:eastAsia="cs-CZ"/>
        </w:rPr>
        <w:t>Pedagogové využívají mobilní ICT vybavení a digitální technologie při výuce v terénu, v projektové výuce apod.</w:t>
      </w:r>
      <w:r w:rsidRPr="00470DBC">
        <w:rPr>
          <w:rFonts w:eastAsia="Times New Roman"/>
          <w:lang w:eastAsia="cs-CZ"/>
        </w:rPr>
        <w:t xml:space="preserve"> (</w:t>
      </w:r>
      <w:r>
        <w:rPr>
          <w:rFonts w:eastAsia="Times New Roman"/>
          <w:lang w:eastAsia="cs-CZ"/>
        </w:rPr>
        <w:t>68</w:t>
      </w:r>
      <w:r w:rsidRPr="00470DBC">
        <w:rPr>
          <w:rFonts w:eastAsia="Times New Roman"/>
          <w:lang w:eastAsia="cs-CZ"/>
        </w:rPr>
        <w:t>,</w:t>
      </w:r>
      <w:r>
        <w:rPr>
          <w:rFonts w:eastAsia="Times New Roman"/>
          <w:lang w:eastAsia="cs-CZ"/>
        </w:rPr>
        <w:t>4</w:t>
      </w:r>
      <w:r w:rsidRPr="00470DBC">
        <w:rPr>
          <w:rFonts w:eastAsia="Times New Roman"/>
          <w:lang w:eastAsia="cs-CZ"/>
        </w:rPr>
        <w:t xml:space="preserve"> %)</w:t>
      </w:r>
    </w:p>
    <w:p w:rsidR="00470DBC" w:rsidRPr="00470DBC" w:rsidRDefault="00470DBC" w:rsidP="00470DBC">
      <w:pPr>
        <w:pStyle w:val="Nzev"/>
        <w:numPr>
          <w:ilvl w:val="0"/>
          <w:numId w:val="32"/>
        </w:numPr>
        <w:rPr>
          <w:rFonts w:eastAsia="Times New Roman"/>
          <w:lang w:eastAsia="cs-CZ"/>
        </w:rPr>
      </w:pPr>
      <w:r w:rsidRPr="00933188">
        <w:rPr>
          <w:rFonts w:ascii="Calibri" w:eastAsia="Times New Roman" w:hAnsi="Calibri" w:cs="Times New Roman"/>
          <w:sz w:val="20"/>
          <w:szCs w:val="20"/>
          <w:lang w:eastAsia="cs-CZ"/>
        </w:rPr>
        <w:t>Pedagogové umí systematicky rozvíjet povědomí o internetové bezpečnosti a  kritický pohled na internetový obsah k rozvoji znalostí a dovedností žáků</w:t>
      </w:r>
      <w:r w:rsidRPr="00470DBC">
        <w:rPr>
          <w:rFonts w:eastAsia="Times New Roman"/>
          <w:lang w:eastAsia="cs-CZ"/>
        </w:rPr>
        <w:t xml:space="preserve"> (</w:t>
      </w:r>
      <w:r>
        <w:rPr>
          <w:rFonts w:eastAsia="Times New Roman"/>
          <w:lang w:eastAsia="cs-CZ"/>
        </w:rPr>
        <w:t>68</w:t>
      </w:r>
      <w:r w:rsidRPr="00470DBC">
        <w:rPr>
          <w:rFonts w:eastAsia="Times New Roman"/>
          <w:lang w:eastAsia="cs-CZ"/>
        </w:rPr>
        <w:t>,</w:t>
      </w:r>
      <w:r>
        <w:rPr>
          <w:rFonts w:eastAsia="Times New Roman"/>
          <w:lang w:eastAsia="cs-CZ"/>
        </w:rPr>
        <w:t>4</w:t>
      </w:r>
      <w:r w:rsidRPr="00470DBC">
        <w:rPr>
          <w:rFonts w:eastAsia="Times New Roman"/>
          <w:lang w:eastAsia="cs-CZ"/>
        </w:rPr>
        <w:t xml:space="preserve"> %)</w:t>
      </w:r>
    </w:p>
    <w:p w:rsidR="00BF19A2" w:rsidRDefault="005F43BB" w:rsidP="00BF19A2">
      <w:pPr>
        <w:pStyle w:val="Bezmezer"/>
      </w:pPr>
      <w:r w:rsidRPr="005F43BB">
        <w:rPr>
          <w:b/>
        </w:rPr>
        <w:t>Společným jmenovatelem</w:t>
      </w:r>
      <w:r>
        <w:t xml:space="preserve"> výše zmíněných je </w:t>
      </w:r>
      <w:r w:rsidRPr="005F43BB">
        <w:rPr>
          <w:b/>
        </w:rPr>
        <w:t>internet</w:t>
      </w:r>
      <w:r>
        <w:t xml:space="preserve">. Školy ani tak nekladou důraz na rozvoj specializovaných učebních metod, k nimž je potřeba odpovídající materiální zázemí ať už školy nebo i žáků, ale snaží se spíše o </w:t>
      </w:r>
      <w:r w:rsidRPr="005F43BB">
        <w:rPr>
          <w:b/>
        </w:rPr>
        <w:t>rozvoj obecnějšího povědomí o výhodách i úskalích otevřené internetové sítě</w:t>
      </w:r>
      <w:r>
        <w:t>, jejíž dopad na život každého jedince roste exponenciální řadou.</w:t>
      </w:r>
      <w:r w:rsidR="00927C19">
        <w:t xml:space="preserve"> K internetu je třeba přistupovat jako k bezednému zdroji informací, ale zároveň je třeba být při onom sběru informací, jejich třídění a využívání maximálně obezřetný, což může být (nejen) ve věku žáků základních škol velký problém.</w:t>
      </w:r>
    </w:p>
    <w:p w:rsidR="003034C8" w:rsidRPr="00FA681B" w:rsidRDefault="003034C8" w:rsidP="003034C8">
      <w:pPr>
        <w:pStyle w:val="Nadpis5"/>
      </w:pPr>
      <w:r w:rsidRPr="00FA681B">
        <w:t xml:space="preserve">Tabulka: </w:t>
      </w:r>
      <w:r w:rsidR="00FA681B" w:rsidRPr="00FA681B">
        <w:t>Digitální kompetence pedagogických pracovníků</w:t>
      </w:r>
    </w:p>
    <w:tbl>
      <w:tblPr>
        <w:tblW w:w="9089" w:type="dxa"/>
        <w:tblInd w:w="53" w:type="dxa"/>
        <w:tblLayout w:type="fixed"/>
        <w:tblCellMar>
          <w:left w:w="70" w:type="dxa"/>
          <w:right w:w="70" w:type="dxa"/>
        </w:tblCellMar>
        <w:tblLook w:val="04A0"/>
      </w:tblPr>
      <w:tblGrid>
        <w:gridCol w:w="4837"/>
        <w:gridCol w:w="1134"/>
        <w:gridCol w:w="992"/>
        <w:gridCol w:w="992"/>
        <w:gridCol w:w="567"/>
        <w:gridCol w:w="567"/>
      </w:tblGrid>
      <w:tr w:rsidR="00933188" w:rsidRPr="005D5522" w:rsidTr="00DF4192">
        <w:trPr>
          <w:trHeight w:val="227"/>
        </w:trPr>
        <w:tc>
          <w:tcPr>
            <w:tcW w:w="4837" w:type="dxa"/>
            <w:vMerge w:val="restart"/>
            <w:tcBorders>
              <w:bottom w:val="single" w:sz="4" w:space="0" w:color="000000"/>
              <w:right w:val="single" w:sz="4" w:space="0" w:color="auto"/>
            </w:tcBorders>
            <w:shd w:val="clear" w:color="000000" w:fill="FAC090"/>
            <w:vAlign w:val="center"/>
            <w:hideMark/>
          </w:tcPr>
          <w:p w:rsidR="00933188" w:rsidRPr="00933188" w:rsidRDefault="00933188" w:rsidP="00B554CA">
            <w:pPr>
              <w:pStyle w:val="Nzev"/>
              <w:jc w:val="left"/>
              <w:rPr>
                <w:rFonts w:eastAsia="Times New Roman"/>
                <w:lang w:eastAsia="cs-CZ"/>
              </w:rPr>
            </w:pPr>
            <w:r w:rsidRPr="00933188">
              <w:rPr>
                <w:rFonts w:eastAsia="Times New Roman"/>
                <w:lang w:eastAsia="cs-CZ"/>
              </w:rPr>
              <w:t> </w:t>
            </w:r>
          </w:p>
        </w:tc>
        <w:tc>
          <w:tcPr>
            <w:tcW w:w="2126" w:type="dxa"/>
            <w:gridSpan w:val="2"/>
            <w:tcBorders>
              <w:left w:val="nil"/>
              <w:bottom w:val="nil"/>
              <w:right w:val="single" w:sz="4" w:space="0" w:color="000000"/>
            </w:tcBorders>
            <w:shd w:val="clear" w:color="000000" w:fill="FAC090"/>
            <w:vAlign w:val="bottom"/>
            <w:hideMark/>
          </w:tcPr>
          <w:p w:rsidR="00933188" w:rsidRPr="00933188" w:rsidRDefault="00933188" w:rsidP="00B554CA">
            <w:pPr>
              <w:pStyle w:val="Nzev"/>
              <w:jc w:val="center"/>
              <w:rPr>
                <w:rFonts w:eastAsia="Times New Roman"/>
                <w:lang w:eastAsia="cs-CZ"/>
              </w:rPr>
            </w:pPr>
            <w:r w:rsidRPr="00933188">
              <w:rPr>
                <w:rFonts w:eastAsia="Times New Roman"/>
                <w:lang w:eastAsia="cs-CZ"/>
              </w:rPr>
              <w:t xml:space="preserve">Podíl ZŠ v rámci </w:t>
            </w:r>
            <w:r w:rsidRPr="005D5522">
              <w:rPr>
                <w:rFonts w:eastAsia="Times New Roman"/>
                <w:lang w:eastAsia="cs-CZ"/>
              </w:rPr>
              <w:t xml:space="preserve">SO </w:t>
            </w:r>
            <w:r w:rsidRPr="00933188">
              <w:rPr>
                <w:rFonts w:eastAsia="Times New Roman"/>
                <w:lang w:eastAsia="cs-CZ"/>
              </w:rPr>
              <w:t>ORP plánujících zlepšení</w:t>
            </w:r>
          </w:p>
        </w:tc>
        <w:tc>
          <w:tcPr>
            <w:tcW w:w="2126" w:type="dxa"/>
            <w:gridSpan w:val="3"/>
            <w:tcBorders>
              <w:left w:val="nil"/>
              <w:bottom w:val="nil"/>
            </w:tcBorders>
            <w:shd w:val="clear" w:color="000000" w:fill="FAC090"/>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Průměrné hodnocení aktuálního stavu</w:t>
            </w:r>
          </w:p>
        </w:tc>
      </w:tr>
      <w:tr w:rsidR="00933188" w:rsidRPr="005D5522" w:rsidTr="00DF4192">
        <w:trPr>
          <w:trHeight w:val="227"/>
        </w:trPr>
        <w:tc>
          <w:tcPr>
            <w:tcW w:w="4837" w:type="dxa"/>
            <w:vMerge/>
            <w:tcBorders>
              <w:top w:val="single" w:sz="8" w:space="0" w:color="auto"/>
              <w:bottom w:val="single" w:sz="4" w:space="0" w:color="000000"/>
              <w:right w:val="single" w:sz="4" w:space="0" w:color="auto"/>
            </w:tcBorders>
            <w:vAlign w:val="center"/>
            <w:hideMark/>
          </w:tcPr>
          <w:p w:rsidR="00933188" w:rsidRPr="00933188" w:rsidRDefault="00933188" w:rsidP="00B554CA">
            <w:pPr>
              <w:pStyle w:val="Nzev"/>
              <w:jc w:val="left"/>
              <w:rPr>
                <w:rFonts w:eastAsia="Times New Roman"/>
                <w:lang w:eastAsia="cs-CZ"/>
              </w:rPr>
            </w:pP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2016–18</w:t>
            </w:r>
          </w:p>
        </w:tc>
        <w:tc>
          <w:tcPr>
            <w:tcW w:w="992" w:type="dxa"/>
            <w:tcBorders>
              <w:top w:val="single" w:sz="4" w:space="0" w:color="auto"/>
              <w:left w:val="nil"/>
              <w:bottom w:val="single" w:sz="4" w:space="0" w:color="auto"/>
              <w:right w:val="single" w:sz="4" w:space="0" w:color="auto"/>
            </w:tcBorders>
            <w:shd w:val="clear" w:color="000000" w:fill="FAC090"/>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2019–20</w:t>
            </w:r>
          </w:p>
        </w:tc>
        <w:tc>
          <w:tcPr>
            <w:tcW w:w="992" w:type="dxa"/>
            <w:tcBorders>
              <w:top w:val="single" w:sz="4" w:space="0" w:color="auto"/>
              <w:left w:val="nil"/>
              <w:bottom w:val="single" w:sz="4" w:space="0" w:color="auto"/>
              <w:right w:val="nil"/>
            </w:tcBorders>
            <w:shd w:val="clear" w:color="000000" w:fill="FAC090"/>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SO ORP</w:t>
            </w:r>
          </w:p>
        </w:tc>
        <w:tc>
          <w:tcPr>
            <w:tcW w:w="567" w:type="dxa"/>
            <w:tcBorders>
              <w:top w:val="single" w:sz="4" w:space="0" w:color="auto"/>
              <w:left w:val="single" w:sz="4" w:space="0" w:color="auto"/>
              <w:bottom w:val="single" w:sz="4" w:space="0" w:color="auto"/>
              <w:right w:val="single" w:sz="4" w:space="0" w:color="000000"/>
            </w:tcBorders>
            <w:shd w:val="clear" w:color="000000" w:fill="FAC090"/>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kraj</w:t>
            </w:r>
          </w:p>
        </w:tc>
        <w:tc>
          <w:tcPr>
            <w:tcW w:w="567" w:type="dxa"/>
            <w:tcBorders>
              <w:top w:val="single" w:sz="4" w:space="0" w:color="auto"/>
              <w:left w:val="nil"/>
              <w:bottom w:val="single" w:sz="4" w:space="0" w:color="auto"/>
            </w:tcBorders>
            <w:shd w:val="clear" w:color="000000" w:fill="FAC090"/>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ČR</w:t>
            </w:r>
          </w:p>
        </w:tc>
      </w:tr>
      <w:tr w:rsidR="00933188" w:rsidRPr="005D5522" w:rsidTr="00DF4192">
        <w:trPr>
          <w:trHeight w:val="227"/>
        </w:trPr>
        <w:tc>
          <w:tcPr>
            <w:tcW w:w="4837" w:type="dxa"/>
            <w:tcBorders>
              <w:top w:val="nil"/>
              <w:bottom w:val="nil"/>
              <w:right w:val="single" w:sz="4" w:space="0" w:color="auto"/>
            </w:tcBorders>
            <w:shd w:val="clear" w:color="auto" w:fill="auto"/>
            <w:vAlign w:val="center"/>
            <w:hideMark/>
          </w:tcPr>
          <w:p w:rsidR="00933188" w:rsidRPr="00933188" w:rsidRDefault="00933188" w:rsidP="00B554CA">
            <w:pPr>
              <w:pStyle w:val="Nzev"/>
              <w:jc w:val="left"/>
              <w:rPr>
                <w:rFonts w:eastAsia="Times New Roman"/>
                <w:lang w:eastAsia="cs-CZ"/>
              </w:rPr>
            </w:pPr>
            <w:r w:rsidRPr="00933188">
              <w:rPr>
                <w:rFonts w:eastAsia="Times New Roman"/>
                <w:lang w:eastAsia="cs-CZ"/>
              </w:rPr>
              <w:t>Pedagogové využívají ICT učebnu nebo školní stolní počítače při výuce (nejen informatiky)</w:t>
            </w:r>
          </w:p>
        </w:tc>
        <w:tc>
          <w:tcPr>
            <w:tcW w:w="1134" w:type="dxa"/>
            <w:tcBorders>
              <w:top w:val="nil"/>
              <w:left w:val="nil"/>
              <w:bottom w:val="nil"/>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63,2%</w:t>
            </w:r>
          </w:p>
        </w:tc>
        <w:tc>
          <w:tcPr>
            <w:tcW w:w="992" w:type="dxa"/>
            <w:tcBorders>
              <w:top w:val="nil"/>
              <w:left w:val="nil"/>
              <w:bottom w:val="nil"/>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10,5%</w:t>
            </w:r>
          </w:p>
        </w:tc>
        <w:tc>
          <w:tcPr>
            <w:tcW w:w="992" w:type="dxa"/>
            <w:tcBorders>
              <w:top w:val="single" w:sz="4" w:space="0" w:color="auto"/>
              <w:left w:val="nil"/>
              <w:bottom w:val="single" w:sz="4" w:space="0" w:color="auto"/>
              <w:right w:val="nil"/>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3,32</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2,99</w:t>
            </w:r>
          </w:p>
        </w:tc>
        <w:tc>
          <w:tcPr>
            <w:tcW w:w="567" w:type="dxa"/>
            <w:tcBorders>
              <w:top w:val="single" w:sz="4" w:space="0" w:color="auto"/>
              <w:left w:val="nil"/>
              <w:bottom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2,98</w:t>
            </w:r>
          </w:p>
        </w:tc>
      </w:tr>
      <w:tr w:rsidR="00933188" w:rsidRPr="005D5522" w:rsidTr="00DF4192">
        <w:trPr>
          <w:trHeight w:val="227"/>
        </w:trPr>
        <w:tc>
          <w:tcPr>
            <w:tcW w:w="4837" w:type="dxa"/>
            <w:tcBorders>
              <w:top w:val="single" w:sz="4" w:space="0" w:color="auto"/>
              <w:bottom w:val="single" w:sz="4" w:space="0" w:color="auto"/>
              <w:right w:val="single" w:sz="4" w:space="0" w:color="auto"/>
            </w:tcBorders>
            <w:shd w:val="clear" w:color="auto" w:fill="auto"/>
            <w:vAlign w:val="center"/>
            <w:hideMark/>
          </w:tcPr>
          <w:p w:rsidR="00933188" w:rsidRPr="00933188" w:rsidRDefault="00933188" w:rsidP="00CF50DC">
            <w:pPr>
              <w:pStyle w:val="Nzev"/>
              <w:jc w:val="left"/>
              <w:rPr>
                <w:rFonts w:eastAsia="Times New Roman"/>
                <w:lang w:eastAsia="cs-CZ"/>
              </w:rPr>
            </w:pPr>
            <w:r w:rsidRPr="00933188">
              <w:rPr>
                <w:rFonts w:eastAsia="Times New Roman"/>
                <w:lang w:eastAsia="cs-CZ"/>
              </w:rPr>
              <w:t>Pedagogové využívají školní mobilní ICT vy</w:t>
            </w:r>
            <w:r w:rsidR="00CF50DC">
              <w:rPr>
                <w:rFonts w:eastAsia="Times New Roman"/>
                <w:lang w:eastAsia="cs-CZ"/>
              </w:rPr>
              <w:t>bavení ve výuce (notebooky</w:t>
            </w:r>
            <w:r w:rsidRPr="00933188">
              <w:rPr>
                <w:rFonts w:eastAsia="Times New Roman"/>
                <w:lang w:eastAsia="cs-CZ"/>
              </w:rPr>
              <w:t>, tablety, chytré telefony apod.)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57,9%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15,8%</w:t>
            </w:r>
          </w:p>
        </w:tc>
        <w:tc>
          <w:tcPr>
            <w:tcW w:w="992" w:type="dxa"/>
            <w:tcBorders>
              <w:top w:val="single" w:sz="4" w:space="0" w:color="auto"/>
              <w:left w:val="nil"/>
              <w:bottom w:val="single" w:sz="4" w:space="0" w:color="auto"/>
              <w:right w:val="nil"/>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2,53</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2,49</w:t>
            </w:r>
          </w:p>
        </w:tc>
        <w:tc>
          <w:tcPr>
            <w:tcW w:w="567" w:type="dxa"/>
            <w:tcBorders>
              <w:top w:val="single" w:sz="4" w:space="0" w:color="auto"/>
              <w:left w:val="nil"/>
              <w:bottom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2,48</w:t>
            </w:r>
          </w:p>
        </w:tc>
      </w:tr>
      <w:tr w:rsidR="00933188" w:rsidRPr="005D5522"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933188" w:rsidRPr="00933188" w:rsidRDefault="00933188" w:rsidP="00B554CA">
            <w:pPr>
              <w:pStyle w:val="Nzev"/>
              <w:jc w:val="left"/>
              <w:rPr>
                <w:rFonts w:eastAsia="Times New Roman"/>
                <w:lang w:eastAsia="cs-CZ"/>
              </w:rPr>
            </w:pPr>
            <w:r w:rsidRPr="00933188">
              <w:rPr>
                <w:rFonts w:eastAsia="Times New Roman"/>
                <w:lang w:eastAsia="cs-CZ"/>
              </w:rPr>
              <w:t xml:space="preserve">Pedagogové využívají možností BYOD pro konkrétní projekty žáků (umožnění žákům používat ve výuce </w:t>
            </w:r>
            <w:r w:rsidRPr="00933188">
              <w:rPr>
                <w:rFonts w:eastAsia="Times New Roman"/>
                <w:lang w:eastAsia="cs-CZ"/>
              </w:rPr>
              <w:lastRenderedPageBreak/>
              <w:t xml:space="preserve">jejich vlastní technická zařízení typu ICT, tj. notebooky, </w:t>
            </w:r>
            <w:proofErr w:type="spellStart"/>
            <w:r w:rsidRPr="00933188">
              <w:rPr>
                <w:rFonts w:eastAsia="Times New Roman"/>
                <w:lang w:eastAsia="cs-CZ"/>
              </w:rPr>
              <w:t>netbooky</w:t>
            </w:r>
            <w:proofErr w:type="spellEnd"/>
            <w:r w:rsidRPr="00933188">
              <w:rPr>
                <w:rFonts w:eastAsia="Times New Roman"/>
                <w:lang w:eastAsia="cs-CZ"/>
              </w:rPr>
              <w:t>, tablety, chytré telefony apod.)</w:t>
            </w:r>
          </w:p>
        </w:tc>
        <w:tc>
          <w:tcPr>
            <w:tcW w:w="1134" w:type="dxa"/>
            <w:tcBorders>
              <w:top w:val="nil"/>
              <w:left w:val="nil"/>
              <w:bottom w:val="single" w:sz="4" w:space="0" w:color="auto"/>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lastRenderedPageBreak/>
              <w:t>52,6%</w:t>
            </w:r>
          </w:p>
        </w:tc>
        <w:tc>
          <w:tcPr>
            <w:tcW w:w="992" w:type="dxa"/>
            <w:tcBorders>
              <w:top w:val="nil"/>
              <w:left w:val="nil"/>
              <w:bottom w:val="single" w:sz="4" w:space="0" w:color="auto"/>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15,8%</w:t>
            </w:r>
          </w:p>
        </w:tc>
        <w:tc>
          <w:tcPr>
            <w:tcW w:w="992" w:type="dxa"/>
            <w:tcBorders>
              <w:top w:val="single" w:sz="4" w:space="0" w:color="auto"/>
              <w:left w:val="nil"/>
              <w:bottom w:val="single" w:sz="4" w:space="0" w:color="auto"/>
              <w:right w:val="nil"/>
            </w:tcBorders>
            <w:shd w:val="clear" w:color="000000" w:fill="E6B9B8"/>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1,26</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1,39</w:t>
            </w:r>
          </w:p>
        </w:tc>
        <w:tc>
          <w:tcPr>
            <w:tcW w:w="567" w:type="dxa"/>
            <w:tcBorders>
              <w:top w:val="single" w:sz="4" w:space="0" w:color="auto"/>
              <w:left w:val="nil"/>
              <w:bottom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1,36</w:t>
            </w:r>
          </w:p>
        </w:tc>
      </w:tr>
      <w:tr w:rsidR="00933188" w:rsidRPr="005D5522"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933188" w:rsidRPr="00933188" w:rsidRDefault="00933188" w:rsidP="00B554CA">
            <w:pPr>
              <w:pStyle w:val="Nzev"/>
              <w:jc w:val="left"/>
              <w:rPr>
                <w:rFonts w:eastAsia="Times New Roman"/>
                <w:lang w:eastAsia="cs-CZ"/>
              </w:rPr>
            </w:pPr>
            <w:r w:rsidRPr="00933188">
              <w:rPr>
                <w:rFonts w:eastAsia="Times New Roman"/>
                <w:lang w:eastAsia="cs-CZ"/>
              </w:rPr>
              <w:lastRenderedPageBreak/>
              <w:t>Pedagogové využívají mobilní ICT vybavení a digitální technologie při výuce v terénu, v projektové výuce apod.</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68,4%</w:t>
            </w:r>
          </w:p>
        </w:tc>
        <w:tc>
          <w:tcPr>
            <w:tcW w:w="992" w:type="dxa"/>
            <w:tcBorders>
              <w:top w:val="nil"/>
              <w:left w:val="nil"/>
              <w:bottom w:val="single" w:sz="4" w:space="0" w:color="auto"/>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1,84</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1,81</w:t>
            </w:r>
          </w:p>
        </w:tc>
        <w:tc>
          <w:tcPr>
            <w:tcW w:w="567" w:type="dxa"/>
            <w:tcBorders>
              <w:top w:val="single" w:sz="4" w:space="0" w:color="auto"/>
              <w:left w:val="nil"/>
              <w:bottom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1,78</w:t>
            </w:r>
          </w:p>
        </w:tc>
      </w:tr>
      <w:tr w:rsidR="00933188" w:rsidRPr="005D5522"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933188" w:rsidRPr="00933188" w:rsidRDefault="00933188" w:rsidP="00B554CA">
            <w:pPr>
              <w:pStyle w:val="Nzev"/>
              <w:jc w:val="left"/>
              <w:rPr>
                <w:rFonts w:eastAsia="Times New Roman"/>
                <w:lang w:eastAsia="cs-CZ"/>
              </w:rPr>
            </w:pPr>
            <w:r w:rsidRPr="00933188">
              <w:rPr>
                <w:rFonts w:eastAsia="Times New Roman"/>
                <w:lang w:eastAsia="cs-CZ"/>
              </w:rPr>
              <w:t>Pedagogové využívají pro výuku volně dostupné, bezpečné, otevřené internetové zdroje</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5,3%</w:t>
            </w:r>
          </w:p>
        </w:tc>
        <w:tc>
          <w:tcPr>
            <w:tcW w:w="992" w:type="dxa"/>
            <w:tcBorders>
              <w:top w:val="single" w:sz="4" w:space="0" w:color="auto"/>
              <w:left w:val="nil"/>
              <w:bottom w:val="single" w:sz="4" w:space="0" w:color="auto"/>
              <w:right w:val="nil"/>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3,21</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2,98</w:t>
            </w:r>
          </w:p>
        </w:tc>
        <w:tc>
          <w:tcPr>
            <w:tcW w:w="567" w:type="dxa"/>
            <w:tcBorders>
              <w:top w:val="single" w:sz="4" w:space="0" w:color="auto"/>
              <w:left w:val="nil"/>
              <w:bottom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2,92</w:t>
            </w:r>
          </w:p>
        </w:tc>
      </w:tr>
      <w:tr w:rsidR="00933188" w:rsidRPr="005D5522" w:rsidTr="00DF4192">
        <w:trPr>
          <w:trHeight w:val="227"/>
        </w:trPr>
        <w:tc>
          <w:tcPr>
            <w:tcW w:w="4837" w:type="dxa"/>
            <w:tcBorders>
              <w:top w:val="nil"/>
              <w:bottom w:val="single" w:sz="4" w:space="0" w:color="auto"/>
              <w:right w:val="single" w:sz="4" w:space="0" w:color="auto"/>
            </w:tcBorders>
            <w:shd w:val="clear" w:color="auto" w:fill="auto"/>
            <w:vAlign w:val="center"/>
            <w:hideMark/>
          </w:tcPr>
          <w:p w:rsidR="00933188" w:rsidRPr="00933188" w:rsidRDefault="00933188" w:rsidP="00B554CA">
            <w:pPr>
              <w:pStyle w:val="Nzev"/>
              <w:jc w:val="left"/>
              <w:rPr>
                <w:rFonts w:eastAsia="Times New Roman"/>
                <w:lang w:eastAsia="cs-CZ"/>
              </w:rPr>
            </w:pPr>
            <w:r w:rsidRPr="00933188">
              <w:rPr>
                <w:rFonts w:eastAsia="Times New Roman"/>
                <w:lang w:eastAsia="cs-CZ"/>
              </w:rPr>
              <w:t>Pedagogové se orientují v rámci svého předmětu ve volně dostupných zdrojích na internetu</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73,7%</w:t>
            </w:r>
          </w:p>
        </w:tc>
        <w:tc>
          <w:tcPr>
            <w:tcW w:w="992" w:type="dxa"/>
            <w:tcBorders>
              <w:top w:val="nil"/>
              <w:left w:val="nil"/>
              <w:bottom w:val="single" w:sz="4" w:space="0" w:color="auto"/>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0,0%</w:t>
            </w:r>
          </w:p>
        </w:tc>
        <w:tc>
          <w:tcPr>
            <w:tcW w:w="992" w:type="dxa"/>
            <w:tcBorders>
              <w:top w:val="single" w:sz="4" w:space="0" w:color="auto"/>
              <w:left w:val="nil"/>
              <w:bottom w:val="single" w:sz="4" w:space="0" w:color="auto"/>
              <w:right w:val="nil"/>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3,26</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2,91</w:t>
            </w:r>
          </w:p>
        </w:tc>
        <w:tc>
          <w:tcPr>
            <w:tcW w:w="567" w:type="dxa"/>
            <w:tcBorders>
              <w:top w:val="single" w:sz="4" w:space="0" w:color="auto"/>
              <w:left w:val="nil"/>
              <w:bottom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2,88</w:t>
            </w:r>
          </w:p>
        </w:tc>
      </w:tr>
      <w:tr w:rsidR="00933188" w:rsidRPr="005D5522" w:rsidTr="00DF4192">
        <w:trPr>
          <w:trHeight w:val="227"/>
        </w:trPr>
        <w:tc>
          <w:tcPr>
            <w:tcW w:w="4837" w:type="dxa"/>
            <w:tcBorders>
              <w:top w:val="nil"/>
              <w:right w:val="single" w:sz="4" w:space="0" w:color="auto"/>
            </w:tcBorders>
            <w:shd w:val="clear" w:color="auto" w:fill="auto"/>
            <w:vAlign w:val="center"/>
            <w:hideMark/>
          </w:tcPr>
          <w:p w:rsidR="00933188" w:rsidRPr="00933188" w:rsidRDefault="00933188" w:rsidP="00B554CA">
            <w:pPr>
              <w:pStyle w:val="Nzev"/>
              <w:jc w:val="left"/>
              <w:rPr>
                <w:rFonts w:eastAsia="Times New Roman"/>
                <w:lang w:eastAsia="cs-CZ"/>
              </w:rPr>
            </w:pPr>
            <w:r w:rsidRPr="00933188">
              <w:rPr>
                <w:rFonts w:eastAsia="Times New Roman"/>
                <w:lang w:eastAsia="cs-CZ"/>
              </w:rPr>
              <w:t>Pedagogové umí systematicky rozvíjet povědomí o internetové bezpečnosti a  kritický pohled na internetový obsah k rozvoji znalostí a dovedností žáků</w:t>
            </w:r>
          </w:p>
        </w:tc>
        <w:tc>
          <w:tcPr>
            <w:tcW w:w="1134" w:type="dxa"/>
            <w:tcBorders>
              <w:top w:val="single" w:sz="4" w:space="0" w:color="auto"/>
              <w:left w:val="nil"/>
              <w:right w:val="single" w:sz="4" w:space="0" w:color="auto"/>
            </w:tcBorders>
            <w:shd w:val="clear" w:color="000000" w:fill="C6EFCE"/>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68,4%</w:t>
            </w:r>
          </w:p>
        </w:tc>
        <w:tc>
          <w:tcPr>
            <w:tcW w:w="992" w:type="dxa"/>
            <w:tcBorders>
              <w:top w:val="nil"/>
              <w:left w:val="nil"/>
              <w:right w:val="single" w:sz="4" w:space="0" w:color="auto"/>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10,5%</w:t>
            </w:r>
          </w:p>
        </w:tc>
        <w:tc>
          <w:tcPr>
            <w:tcW w:w="992" w:type="dxa"/>
            <w:tcBorders>
              <w:top w:val="single" w:sz="4" w:space="0" w:color="auto"/>
              <w:left w:val="nil"/>
              <w:right w:val="nil"/>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3,16</w:t>
            </w:r>
          </w:p>
        </w:tc>
        <w:tc>
          <w:tcPr>
            <w:tcW w:w="567" w:type="dxa"/>
            <w:tcBorders>
              <w:top w:val="single" w:sz="4" w:space="0" w:color="auto"/>
              <w:left w:val="single" w:sz="4" w:space="0" w:color="auto"/>
              <w:right w:val="single" w:sz="4" w:space="0" w:color="000000"/>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2,80</w:t>
            </w:r>
          </w:p>
        </w:tc>
        <w:tc>
          <w:tcPr>
            <w:tcW w:w="567" w:type="dxa"/>
            <w:tcBorders>
              <w:top w:val="single" w:sz="4" w:space="0" w:color="auto"/>
              <w:left w:val="nil"/>
            </w:tcBorders>
            <w:shd w:val="clear" w:color="000000" w:fill="FFFFFF"/>
            <w:vAlign w:val="center"/>
            <w:hideMark/>
          </w:tcPr>
          <w:p w:rsidR="00933188" w:rsidRPr="00933188" w:rsidRDefault="00933188" w:rsidP="00B554CA">
            <w:pPr>
              <w:pStyle w:val="Nzev"/>
              <w:jc w:val="center"/>
              <w:rPr>
                <w:rFonts w:eastAsia="Times New Roman"/>
                <w:lang w:eastAsia="cs-CZ"/>
              </w:rPr>
            </w:pPr>
            <w:r w:rsidRPr="00933188">
              <w:rPr>
                <w:rFonts w:eastAsia="Times New Roman"/>
                <w:lang w:eastAsia="cs-CZ"/>
              </w:rPr>
              <w:t>2,79</w:t>
            </w:r>
          </w:p>
        </w:tc>
      </w:tr>
    </w:tbl>
    <w:p w:rsidR="003034C8" w:rsidRPr="007423B1" w:rsidRDefault="00576A70" w:rsidP="003034C8">
      <w:pPr>
        <w:pStyle w:val="Bezmezer"/>
        <w:rPr>
          <w:lang w:eastAsia="cs-CZ"/>
        </w:rPr>
      </w:pPr>
      <w:r w:rsidRPr="00576A70">
        <w:rPr>
          <w:lang w:eastAsia="cs-CZ"/>
        </w:rPr>
        <w:t xml:space="preserve">Školy si výše zmíněné jednoznačně uvědomují a v rámci svých možností snad i dělají maximum, což se odráží ve vysokých číslech aktuálního </w:t>
      </w:r>
      <w:r w:rsidR="00374727">
        <w:rPr>
          <w:lang w:eastAsia="cs-CZ"/>
        </w:rPr>
        <w:t>sebe</w:t>
      </w:r>
      <w:r w:rsidRPr="00576A70">
        <w:rPr>
          <w:lang w:eastAsia="cs-CZ"/>
        </w:rPr>
        <w:t>hodnocení (v průměru celé oblasti digitálních kompetencí 2,7, v případě samotné problematiky internetu 3,2!)</w:t>
      </w:r>
      <w:r w:rsidR="000B2719">
        <w:rPr>
          <w:lang w:eastAsia="cs-CZ"/>
        </w:rPr>
        <w:t>. Co se problémů, které sam</w:t>
      </w:r>
      <w:r w:rsidR="000F172D">
        <w:rPr>
          <w:lang w:eastAsia="cs-CZ"/>
        </w:rPr>
        <w:t>y</w:t>
      </w:r>
      <w:r w:rsidR="000B2719">
        <w:rPr>
          <w:lang w:eastAsia="cs-CZ"/>
        </w:rPr>
        <w:t xml:space="preserve"> školy v dalším rozvoji celé oblasti vidí,</w:t>
      </w:r>
      <w:r w:rsidR="000F172D">
        <w:rPr>
          <w:lang w:eastAsia="cs-CZ"/>
        </w:rPr>
        <w:t xml:space="preserve"> týká,</w:t>
      </w:r>
      <w:r w:rsidR="000B2719">
        <w:rPr>
          <w:lang w:eastAsia="cs-CZ"/>
        </w:rPr>
        <w:t xml:space="preserve"> tak snad nikoho jejich povaha nepřekvapí:</w:t>
      </w:r>
      <w:r w:rsidR="003034C8" w:rsidRPr="003034C8">
        <w:rPr>
          <w:highlight w:val="yellow"/>
          <w:lang w:eastAsia="cs-CZ"/>
        </w:rPr>
        <w:t xml:space="preserve"> </w:t>
      </w:r>
    </w:p>
    <w:p w:rsidR="003034C8" w:rsidRPr="00A3320D" w:rsidRDefault="007423B1" w:rsidP="003034C8">
      <w:pPr>
        <w:pStyle w:val="Nzev"/>
        <w:numPr>
          <w:ilvl w:val="0"/>
          <w:numId w:val="33"/>
        </w:numPr>
        <w:rPr>
          <w:rFonts w:eastAsia="Times New Roman"/>
          <w:lang w:eastAsia="cs-CZ"/>
        </w:rPr>
      </w:pPr>
      <w:r w:rsidRPr="00A3320D">
        <w:rPr>
          <w:rFonts w:eastAsia="Times New Roman"/>
          <w:lang w:eastAsia="cs-CZ"/>
        </w:rPr>
        <w:t>Nedostatek financí na po</w:t>
      </w:r>
      <w:r w:rsidRPr="00A3320D">
        <w:rPr>
          <w:rFonts w:eastAsia="Times New Roman" w:hint="eastAsia"/>
          <w:lang w:eastAsia="cs-CZ"/>
        </w:rPr>
        <w:t>ří</w:t>
      </w:r>
      <w:r w:rsidRPr="00A3320D">
        <w:rPr>
          <w:rFonts w:eastAsia="Times New Roman"/>
          <w:lang w:eastAsia="cs-CZ"/>
        </w:rPr>
        <w:t>zení moderního ICT vybavení (v</w:t>
      </w:r>
      <w:r w:rsidRPr="00A3320D">
        <w:rPr>
          <w:rFonts w:eastAsia="Times New Roman" w:hint="eastAsia"/>
          <w:lang w:eastAsia="cs-CZ"/>
        </w:rPr>
        <w:t>č</w:t>
      </w:r>
      <w:r w:rsidRPr="00A3320D">
        <w:rPr>
          <w:rFonts w:eastAsia="Times New Roman"/>
          <w:lang w:eastAsia="cs-CZ"/>
        </w:rPr>
        <w:t>etn</w:t>
      </w:r>
      <w:r w:rsidRPr="00A3320D">
        <w:rPr>
          <w:rFonts w:eastAsia="Times New Roman" w:hint="eastAsia"/>
          <w:lang w:eastAsia="cs-CZ"/>
        </w:rPr>
        <w:t>ě</w:t>
      </w:r>
      <w:r w:rsidRPr="00A3320D">
        <w:rPr>
          <w:rFonts w:eastAsia="Times New Roman"/>
          <w:lang w:eastAsia="cs-CZ"/>
        </w:rPr>
        <w:t xml:space="preserve"> údržby stávající </w:t>
      </w:r>
      <w:proofErr w:type="gramStart"/>
      <w:r w:rsidRPr="00A3320D">
        <w:rPr>
          <w:rFonts w:eastAsia="Times New Roman"/>
          <w:lang w:eastAsia="cs-CZ"/>
        </w:rPr>
        <w:t>techniky)</w:t>
      </w:r>
      <w:r w:rsidR="003034C8" w:rsidRPr="00A3320D">
        <w:rPr>
          <w:rFonts w:eastAsia="Times New Roman"/>
          <w:lang w:eastAsia="cs-CZ"/>
        </w:rPr>
        <w:t xml:space="preserve"> (84,2</w:t>
      </w:r>
      <w:proofErr w:type="gramEnd"/>
      <w:r w:rsidR="003034C8" w:rsidRPr="00A3320D">
        <w:rPr>
          <w:rFonts w:eastAsia="Times New Roman"/>
          <w:lang w:eastAsia="cs-CZ"/>
        </w:rPr>
        <w:t xml:space="preserve"> %)</w:t>
      </w:r>
    </w:p>
    <w:p w:rsidR="003034C8" w:rsidRPr="00A3320D" w:rsidRDefault="00A3320D" w:rsidP="003034C8">
      <w:pPr>
        <w:pStyle w:val="Nzev"/>
        <w:numPr>
          <w:ilvl w:val="0"/>
          <w:numId w:val="33"/>
        </w:numPr>
        <w:rPr>
          <w:rFonts w:eastAsia="Times New Roman"/>
          <w:lang w:eastAsia="cs-CZ"/>
        </w:rPr>
      </w:pPr>
      <w:r w:rsidRPr="00A3320D">
        <w:rPr>
          <w:rFonts w:eastAsia="Times New Roman"/>
          <w:lang w:eastAsia="cs-CZ"/>
        </w:rPr>
        <w:t xml:space="preserve">Nedostatek </w:t>
      </w:r>
      <w:r w:rsidRPr="00A3320D">
        <w:rPr>
          <w:rFonts w:eastAsia="Times New Roman" w:hint="eastAsia"/>
          <w:lang w:eastAsia="cs-CZ"/>
        </w:rPr>
        <w:t>č</w:t>
      </w:r>
      <w:r w:rsidRPr="00A3320D">
        <w:rPr>
          <w:rFonts w:eastAsia="Times New Roman"/>
          <w:lang w:eastAsia="cs-CZ"/>
        </w:rPr>
        <w:t>asových možností k dalšímu vzd</w:t>
      </w:r>
      <w:r w:rsidRPr="00A3320D">
        <w:rPr>
          <w:rFonts w:eastAsia="Times New Roman" w:hint="eastAsia"/>
          <w:lang w:eastAsia="cs-CZ"/>
        </w:rPr>
        <w:t>ě</w:t>
      </w:r>
      <w:r w:rsidRPr="00A3320D">
        <w:rPr>
          <w:rFonts w:eastAsia="Times New Roman"/>
          <w:lang w:eastAsia="cs-CZ"/>
        </w:rPr>
        <w:t>lávání pedagogických pracovník</w:t>
      </w:r>
      <w:r w:rsidRPr="00A3320D">
        <w:rPr>
          <w:rFonts w:eastAsia="Times New Roman" w:hint="eastAsia"/>
          <w:lang w:eastAsia="cs-CZ"/>
        </w:rPr>
        <w:t>ů</w:t>
      </w:r>
      <w:r w:rsidRPr="00A3320D">
        <w:rPr>
          <w:rFonts w:eastAsia="Times New Roman"/>
          <w:lang w:eastAsia="cs-CZ"/>
        </w:rPr>
        <w:t xml:space="preserve"> v oblasti digitálních kompetencí</w:t>
      </w:r>
      <w:r w:rsidR="003034C8" w:rsidRPr="00A3320D">
        <w:rPr>
          <w:rFonts w:eastAsia="Times New Roman"/>
          <w:lang w:eastAsia="cs-CZ"/>
        </w:rPr>
        <w:t xml:space="preserve"> (</w:t>
      </w:r>
      <w:r w:rsidRPr="00A3320D">
        <w:rPr>
          <w:rFonts w:eastAsia="Times New Roman"/>
          <w:lang w:eastAsia="cs-CZ"/>
        </w:rPr>
        <w:t>68</w:t>
      </w:r>
      <w:r w:rsidR="003034C8" w:rsidRPr="00A3320D">
        <w:rPr>
          <w:rFonts w:eastAsia="Times New Roman"/>
          <w:lang w:eastAsia="cs-CZ"/>
        </w:rPr>
        <w:t>,</w:t>
      </w:r>
      <w:r w:rsidRPr="00A3320D">
        <w:rPr>
          <w:rFonts w:eastAsia="Times New Roman"/>
          <w:lang w:eastAsia="cs-CZ"/>
        </w:rPr>
        <w:t>4</w:t>
      </w:r>
      <w:r w:rsidR="003034C8" w:rsidRPr="00A3320D">
        <w:rPr>
          <w:rFonts w:eastAsia="Times New Roman"/>
          <w:lang w:eastAsia="cs-CZ"/>
        </w:rPr>
        <w:t xml:space="preserve"> %)</w:t>
      </w:r>
    </w:p>
    <w:p w:rsidR="003034C8" w:rsidRPr="00A3320D" w:rsidRDefault="00A3320D" w:rsidP="003034C8">
      <w:pPr>
        <w:pStyle w:val="Nzev"/>
        <w:numPr>
          <w:ilvl w:val="0"/>
          <w:numId w:val="33"/>
        </w:numPr>
        <w:rPr>
          <w:rFonts w:eastAsia="Times New Roman"/>
          <w:lang w:eastAsia="cs-CZ"/>
        </w:rPr>
      </w:pPr>
      <w:r w:rsidRPr="00A3320D">
        <w:rPr>
          <w:rFonts w:eastAsia="Times New Roman"/>
          <w:lang w:eastAsia="cs-CZ"/>
        </w:rPr>
        <w:t>Nedostate</w:t>
      </w:r>
      <w:r w:rsidRPr="00A3320D">
        <w:rPr>
          <w:rFonts w:eastAsia="Times New Roman" w:hint="eastAsia"/>
          <w:lang w:eastAsia="cs-CZ"/>
        </w:rPr>
        <w:t>č</w:t>
      </w:r>
      <w:r w:rsidRPr="00A3320D">
        <w:rPr>
          <w:rFonts w:eastAsia="Times New Roman"/>
          <w:lang w:eastAsia="cs-CZ"/>
        </w:rPr>
        <w:t>né využívání mobilních ICT technologií ve výuce (notebook</w:t>
      </w:r>
      <w:r w:rsidRPr="00A3320D">
        <w:rPr>
          <w:rFonts w:eastAsia="Times New Roman" w:hint="eastAsia"/>
          <w:lang w:eastAsia="cs-CZ"/>
        </w:rPr>
        <w:t>ů</w:t>
      </w:r>
      <w:r w:rsidRPr="00A3320D">
        <w:rPr>
          <w:rFonts w:eastAsia="Times New Roman"/>
          <w:lang w:eastAsia="cs-CZ"/>
        </w:rPr>
        <w:t xml:space="preserve">, </w:t>
      </w:r>
      <w:proofErr w:type="spellStart"/>
      <w:r w:rsidRPr="00A3320D">
        <w:rPr>
          <w:rFonts w:eastAsia="Times New Roman"/>
          <w:lang w:eastAsia="cs-CZ"/>
        </w:rPr>
        <w:t>tablet</w:t>
      </w:r>
      <w:r w:rsidRPr="00A3320D">
        <w:rPr>
          <w:rFonts w:eastAsia="Times New Roman" w:hint="eastAsia"/>
          <w:lang w:eastAsia="cs-CZ"/>
        </w:rPr>
        <w:t>ů</w:t>
      </w:r>
      <w:proofErr w:type="spellEnd"/>
      <w:r w:rsidRPr="00A3320D">
        <w:rPr>
          <w:rFonts w:eastAsia="Times New Roman"/>
          <w:lang w:eastAsia="cs-CZ"/>
        </w:rPr>
        <w:t xml:space="preserve"> v</w:t>
      </w:r>
      <w:r w:rsidRPr="00A3320D">
        <w:rPr>
          <w:rFonts w:eastAsia="Times New Roman" w:hint="eastAsia"/>
          <w:lang w:eastAsia="cs-CZ"/>
        </w:rPr>
        <w:t>č</w:t>
      </w:r>
      <w:r w:rsidRPr="00A3320D">
        <w:rPr>
          <w:rFonts w:eastAsia="Times New Roman"/>
          <w:lang w:eastAsia="cs-CZ"/>
        </w:rPr>
        <w:t>. možnosti využití vlastních technických za</w:t>
      </w:r>
      <w:r w:rsidRPr="00A3320D">
        <w:rPr>
          <w:rFonts w:eastAsia="Times New Roman" w:hint="eastAsia"/>
          <w:lang w:eastAsia="cs-CZ"/>
        </w:rPr>
        <w:t>ří</w:t>
      </w:r>
      <w:r w:rsidRPr="00A3320D">
        <w:rPr>
          <w:rFonts w:eastAsia="Times New Roman"/>
          <w:lang w:eastAsia="cs-CZ"/>
        </w:rPr>
        <w:t>zení žák</w:t>
      </w:r>
      <w:r w:rsidRPr="00A3320D">
        <w:rPr>
          <w:rFonts w:eastAsia="Times New Roman" w:hint="eastAsia"/>
          <w:lang w:eastAsia="cs-CZ"/>
        </w:rPr>
        <w:t>ů</w:t>
      </w:r>
      <w:r w:rsidRPr="00A3320D">
        <w:rPr>
          <w:rFonts w:eastAsia="Times New Roman"/>
          <w:lang w:eastAsia="cs-CZ"/>
        </w:rPr>
        <w:t xml:space="preserve"> jako nap</w:t>
      </w:r>
      <w:r w:rsidRPr="00A3320D">
        <w:rPr>
          <w:rFonts w:eastAsia="Times New Roman" w:hint="eastAsia"/>
          <w:lang w:eastAsia="cs-CZ"/>
        </w:rPr>
        <w:t>ř</w:t>
      </w:r>
      <w:r w:rsidRPr="00A3320D">
        <w:rPr>
          <w:rFonts w:eastAsia="Times New Roman"/>
          <w:lang w:eastAsia="cs-CZ"/>
        </w:rPr>
        <w:t>. chytrých telefon</w:t>
      </w:r>
      <w:r w:rsidRPr="00A3320D">
        <w:rPr>
          <w:rFonts w:eastAsia="Times New Roman" w:hint="eastAsia"/>
          <w:lang w:eastAsia="cs-CZ"/>
        </w:rPr>
        <w:t>ů</w:t>
      </w:r>
      <w:r w:rsidRPr="00A3320D">
        <w:rPr>
          <w:rFonts w:eastAsia="Times New Roman"/>
          <w:lang w:eastAsia="cs-CZ"/>
        </w:rPr>
        <w:t xml:space="preserve">, </w:t>
      </w:r>
      <w:proofErr w:type="spellStart"/>
      <w:r w:rsidRPr="00A3320D">
        <w:rPr>
          <w:rFonts w:eastAsia="Times New Roman"/>
          <w:lang w:eastAsia="cs-CZ"/>
        </w:rPr>
        <w:t>tablet</w:t>
      </w:r>
      <w:r w:rsidRPr="00A3320D">
        <w:rPr>
          <w:rFonts w:eastAsia="Times New Roman" w:hint="eastAsia"/>
          <w:lang w:eastAsia="cs-CZ"/>
        </w:rPr>
        <w:t>ů</w:t>
      </w:r>
      <w:proofErr w:type="spellEnd"/>
      <w:r w:rsidRPr="00A3320D">
        <w:rPr>
          <w:rFonts w:eastAsia="Times New Roman"/>
          <w:lang w:eastAsia="cs-CZ"/>
        </w:rPr>
        <w:t xml:space="preserve"> apod.)</w:t>
      </w:r>
      <w:r w:rsidR="003034C8" w:rsidRPr="00A3320D">
        <w:rPr>
          <w:rFonts w:eastAsia="Times New Roman"/>
          <w:lang w:eastAsia="cs-CZ"/>
        </w:rPr>
        <w:t xml:space="preserve"> (52,6 %)</w:t>
      </w:r>
    </w:p>
    <w:p w:rsidR="009D1458" w:rsidRPr="004202B1" w:rsidRDefault="009D1458" w:rsidP="009D1458">
      <w:pPr>
        <w:pStyle w:val="Bezmezer"/>
        <w:rPr>
          <w:u w:val="single"/>
        </w:rPr>
      </w:pPr>
      <w:r w:rsidRPr="000F172D">
        <w:rPr>
          <w:u w:val="single"/>
        </w:rPr>
        <w:t xml:space="preserve">Rozvoj </w:t>
      </w:r>
      <w:r w:rsidRPr="004202B1">
        <w:rPr>
          <w:u w:val="single"/>
        </w:rPr>
        <w:t>infrastruktury základních škol</w:t>
      </w:r>
    </w:p>
    <w:p w:rsidR="00034453" w:rsidRDefault="00234771" w:rsidP="00902D0C">
      <w:pPr>
        <w:pStyle w:val="Bezmezer"/>
      </w:pPr>
      <w:r w:rsidRPr="008C28DE">
        <w:t>Rozvoj infrastruktury základních škol</w:t>
      </w:r>
      <w:r>
        <w:t xml:space="preserve"> je</w:t>
      </w:r>
      <w:r w:rsidR="00034453" w:rsidRPr="004202B1">
        <w:t xml:space="preserve"> v rámci analýzy základních škol</w:t>
      </w:r>
      <w:r w:rsidR="004202B1" w:rsidRPr="004202B1">
        <w:t xml:space="preserve"> ve své formě oproti všem předchozím oblastem </w:t>
      </w:r>
      <w:r w:rsidR="004202B1" w:rsidRPr="008C28DE">
        <w:t>specifick</w:t>
      </w:r>
      <w:r w:rsidRPr="008C28DE">
        <w:t>ý</w:t>
      </w:r>
      <w:r w:rsidR="004202B1" w:rsidRPr="004202B1">
        <w:t>.</w:t>
      </w:r>
      <w:r>
        <w:t xml:space="preserve"> </w:t>
      </w:r>
      <w:r w:rsidR="006B4AAD">
        <w:t xml:space="preserve">Celý se jako jediný týká nikoliv obsahu školy, tedy vyučovacích metod, pedagogických kapacit, ale striktně formy, tedy rekonstrukcí, přístaveb, vybavení učeben (zde určitý přesah </w:t>
      </w:r>
      <w:r w:rsidR="007C4ED7">
        <w:t xml:space="preserve">s předešlými oblastmi </w:t>
      </w:r>
      <w:r w:rsidR="006B4AAD">
        <w:t>vz</w:t>
      </w:r>
      <w:r w:rsidR="00867EB6">
        <w:t>n</w:t>
      </w:r>
      <w:r w:rsidR="006B4AAD">
        <w:t>iká) apod.</w:t>
      </w:r>
    </w:p>
    <w:p w:rsidR="00451C9C" w:rsidRPr="00D45393" w:rsidRDefault="001D682D" w:rsidP="00902D0C">
      <w:pPr>
        <w:pStyle w:val="Bezmezer"/>
      </w:pPr>
      <w:r>
        <w:t xml:space="preserve">První tabulka je nejobecnější a zobrazuje „pouze“ </w:t>
      </w:r>
      <w:r w:rsidR="00867EB6" w:rsidRPr="00867EB6">
        <w:t>podíl škol, které v posledních 5 letech investovaly z EU do infrastruktury školy</w:t>
      </w:r>
      <w:r w:rsidR="00867EB6">
        <w:t xml:space="preserve"> a </w:t>
      </w:r>
      <w:r w:rsidR="00867EB6" w:rsidRPr="00867EB6">
        <w:t>podíl škol, které v posledních 5 letech investovaly z EU do vnit</w:t>
      </w:r>
      <w:r w:rsidR="00867EB6" w:rsidRPr="00867EB6">
        <w:rPr>
          <w:rFonts w:hint="eastAsia"/>
        </w:rPr>
        <w:t>ř</w:t>
      </w:r>
      <w:r w:rsidR="00867EB6" w:rsidRPr="00867EB6">
        <w:t>ního vybavení školy</w:t>
      </w:r>
      <w:r w:rsidR="00992544">
        <w:t xml:space="preserve">. Z tabulky je patrné, že </w:t>
      </w:r>
      <w:r w:rsidR="00992544" w:rsidRPr="00D45393">
        <w:rPr>
          <w:b/>
        </w:rPr>
        <w:t>více škol</w:t>
      </w:r>
      <w:r w:rsidR="00992544">
        <w:t xml:space="preserve"> (a to na všech zohledněných úrovních) </w:t>
      </w:r>
      <w:r w:rsidR="00992544" w:rsidRPr="00D45393">
        <w:rPr>
          <w:b/>
        </w:rPr>
        <w:t>investovalo do vnitřního vybavení</w:t>
      </w:r>
      <w:r w:rsidR="00992544">
        <w:t xml:space="preserve">. Důvodem bude patrně nižší náročnost realizace projektu </w:t>
      </w:r>
      <w:r w:rsidR="00451C9C">
        <w:t xml:space="preserve">typu „vybavení počítačové učebny“ než projektu typu „přístavba levého křídla budovy ZŠ“. Navíc dětí v poslední dekádě spíše ubývá, takže nedostatek místa většině škol nehrozí. Rovněž je třeba zohlednit nastavení pravidel pro čerpání dotací. </w:t>
      </w:r>
      <w:r w:rsidR="00451C9C" w:rsidRPr="00D45393">
        <w:rPr>
          <w:b/>
        </w:rPr>
        <w:t xml:space="preserve">Realitou často bývá, že školy zažádají o grant na projekt, který je nepálí ze všeho nejvíc, ale je největší šance, že peníze získají. </w:t>
      </w:r>
    </w:p>
    <w:p w:rsidR="00451C9C" w:rsidRDefault="00992544" w:rsidP="00902D0C">
      <w:pPr>
        <w:pStyle w:val="Bezmezer"/>
      </w:pPr>
      <w:r w:rsidRPr="00D45393">
        <w:rPr>
          <w:b/>
        </w:rPr>
        <w:t>V rámci tématu</w:t>
      </w:r>
      <w:r w:rsidR="00451C9C" w:rsidRPr="00D45393">
        <w:rPr>
          <w:b/>
        </w:rPr>
        <w:t xml:space="preserve"> vybavení škol</w:t>
      </w:r>
      <w:r w:rsidR="00451C9C">
        <w:t xml:space="preserve"> jsou potom</w:t>
      </w:r>
      <w:r>
        <w:t xml:space="preserve"> školy </w:t>
      </w:r>
      <w:r w:rsidRPr="00D45393">
        <w:rPr>
          <w:b/>
        </w:rPr>
        <w:t>SO ORP Kutná Hora</w:t>
      </w:r>
      <w:r>
        <w:t xml:space="preserve"> vůbec </w:t>
      </w:r>
      <w:r w:rsidRPr="00D45393">
        <w:rPr>
          <w:b/>
        </w:rPr>
        <w:t>nejslabší</w:t>
      </w:r>
      <w:r>
        <w:t xml:space="preserve"> ze všech </w:t>
      </w:r>
      <w:r w:rsidR="00451C9C">
        <w:t>tří</w:t>
      </w:r>
      <w:r>
        <w:t xml:space="preserve"> úrovní. </w:t>
      </w:r>
      <w:r w:rsidRPr="00D45393">
        <w:rPr>
          <w:b/>
        </w:rPr>
        <w:t>Rozdíl je však nepatrný</w:t>
      </w:r>
      <w:r>
        <w:t xml:space="preserve"> a procentuální hodnota navíc zhola nic nevypovídá o kvalitě zařízení, míře jeho využitá apod.</w:t>
      </w:r>
      <w:r w:rsidR="00451C9C">
        <w:t xml:space="preserve"> Naopak </w:t>
      </w:r>
      <w:r w:rsidR="00451C9C" w:rsidRPr="00D45393">
        <w:rPr>
          <w:b/>
        </w:rPr>
        <w:t>v případě rozsáhlejších úprav prostor a rekonstrukcí jsou na tom ZŠ v SO ORP Kutná Hora nejlépe</w:t>
      </w:r>
      <w:r w:rsidR="00451C9C">
        <w:t>. Zde jsou navíc rozdíly oproti úrovni krajské i celostátní markantnější a to při nižším průměru.</w:t>
      </w:r>
      <w:r w:rsidR="00490EE3">
        <w:t xml:space="preserve"> Lze se tak domnívat, že </w:t>
      </w:r>
      <w:r w:rsidR="00490EE3" w:rsidRPr="00D45393">
        <w:rPr>
          <w:b/>
        </w:rPr>
        <w:t>budovy zdejších škol jsou v neutěšeném stavu</w:t>
      </w:r>
      <w:r w:rsidR="00490EE3">
        <w:t xml:space="preserve">, ve větších spádových obcích/městech kapacita budov </w:t>
      </w:r>
      <w:r w:rsidR="00C8390B">
        <w:t xml:space="preserve">snad i </w:t>
      </w:r>
      <w:r w:rsidR="00490EE3">
        <w:t>nepostačuje.</w:t>
      </w:r>
    </w:p>
    <w:p w:rsidR="00283947" w:rsidRDefault="00283947" w:rsidP="00902D0C">
      <w:pPr>
        <w:pStyle w:val="Bezmezer"/>
      </w:pPr>
    </w:p>
    <w:p w:rsidR="00283947" w:rsidRDefault="00283947" w:rsidP="00902D0C">
      <w:pPr>
        <w:pStyle w:val="Bezmezer"/>
      </w:pPr>
    </w:p>
    <w:p w:rsidR="00283947" w:rsidRDefault="00283947" w:rsidP="00902D0C">
      <w:pPr>
        <w:pStyle w:val="Bezmezer"/>
      </w:pPr>
    </w:p>
    <w:p w:rsidR="001D682D" w:rsidRPr="00FA681B" w:rsidRDefault="001D682D" w:rsidP="001D682D">
      <w:pPr>
        <w:pStyle w:val="Nadpis5"/>
      </w:pPr>
      <w:r w:rsidRPr="00FA681B">
        <w:lastRenderedPageBreak/>
        <w:t xml:space="preserve">Tabulka: </w:t>
      </w:r>
      <w:r w:rsidR="00867EB6">
        <w:t>I</w:t>
      </w:r>
      <w:r>
        <w:t>nvestice v letech 2010 – 2015</w:t>
      </w:r>
    </w:p>
    <w:tbl>
      <w:tblPr>
        <w:tblW w:w="9089" w:type="dxa"/>
        <w:tblInd w:w="53" w:type="dxa"/>
        <w:tblBorders>
          <w:insideH w:val="single" w:sz="4" w:space="0" w:color="auto"/>
          <w:insideV w:val="single" w:sz="4" w:space="0" w:color="auto"/>
        </w:tblBorders>
        <w:tblLayout w:type="fixed"/>
        <w:tblCellMar>
          <w:left w:w="70" w:type="dxa"/>
          <w:right w:w="70" w:type="dxa"/>
        </w:tblCellMar>
        <w:tblLook w:val="04A0"/>
      </w:tblPr>
      <w:tblGrid>
        <w:gridCol w:w="6538"/>
        <w:gridCol w:w="992"/>
        <w:gridCol w:w="851"/>
        <w:gridCol w:w="708"/>
      </w:tblGrid>
      <w:tr w:rsidR="001D682D" w:rsidRPr="00CF50DC" w:rsidTr="00DF4192">
        <w:trPr>
          <w:trHeight w:val="227"/>
        </w:trPr>
        <w:tc>
          <w:tcPr>
            <w:tcW w:w="6538" w:type="dxa"/>
            <w:shd w:val="clear" w:color="000000" w:fill="FAC090"/>
            <w:vAlign w:val="center"/>
            <w:hideMark/>
          </w:tcPr>
          <w:p w:rsidR="001D682D" w:rsidRPr="00CF50DC" w:rsidRDefault="001D682D" w:rsidP="00CF50DC">
            <w:pPr>
              <w:pStyle w:val="Nzev"/>
              <w:jc w:val="left"/>
              <w:rPr>
                <w:szCs w:val="20"/>
              </w:rPr>
            </w:pPr>
            <w:r w:rsidRPr="00CF50DC">
              <w:rPr>
                <w:szCs w:val="20"/>
              </w:rPr>
              <w:t> </w:t>
            </w:r>
          </w:p>
        </w:tc>
        <w:tc>
          <w:tcPr>
            <w:tcW w:w="992" w:type="dxa"/>
            <w:shd w:val="clear" w:color="000000" w:fill="FAC090"/>
            <w:vAlign w:val="center"/>
            <w:hideMark/>
          </w:tcPr>
          <w:p w:rsidR="001D682D" w:rsidRPr="00CF50DC" w:rsidRDefault="001D682D" w:rsidP="00CF50DC">
            <w:pPr>
              <w:pStyle w:val="Nzev"/>
              <w:jc w:val="center"/>
              <w:rPr>
                <w:szCs w:val="20"/>
              </w:rPr>
            </w:pPr>
            <w:r w:rsidRPr="00CF50DC">
              <w:rPr>
                <w:szCs w:val="20"/>
              </w:rPr>
              <w:t>SO ORP</w:t>
            </w:r>
          </w:p>
        </w:tc>
        <w:tc>
          <w:tcPr>
            <w:tcW w:w="851" w:type="dxa"/>
            <w:shd w:val="clear" w:color="000000" w:fill="FAC090"/>
            <w:vAlign w:val="center"/>
            <w:hideMark/>
          </w:tcPr>
          <w:p w:rsidR="001D682D" w:rsidRPr="00CF50DC" w:rsidRDefault="001D682D" w:rsidP="00CF50DC">
            <w:pPr>
              <w:pStyle w:val="Nzev"/>
              <w:jc w:val="center"/>
              <w:rPr>
                <w:szCs w:val="20"/>
              </w:rPr>
            </w:pPr>
            <w:r w:rsidRPr="00CF50DC">
              <w:rPr>
                <w:szCs w:val="20"/>
              </w:rPr>
              <w:t>kraj</w:t>
            </w:r>
          </w:p>
        </w:tc>
        <w:tc>
          <w:tcPr>
            <w:tcW w:w="708" w:type="dxa"/>
            <w:shd w:val="clear" w:color="000000" w:fill="FAC090"/>
            <w:vAlign w:val="center"/>
            <w:hideMark/>
          </w:tcPr>
          <w:p w:rsidR="001D682D" w:rsidRPr="00CF50DC" w:rsidRDefault="001D682D" w:rsidP="00CF50DC">
            <w:pPr>
              <w:pStyle w:val="Nzev"/>
              <w:jc w:val="center"/>
              <w:rPr>
                <w:szCs w:val="20"/>
              </w:rPr>
            </w:pPr>
            <w:r w:rsidRPr="00CF50DC">
              <w:rPr>
                <w:szCs w:val="20"/>
              </w:rPr>
              <w:t>ČR</w:t>
            </w:r>
          </w:p>
        </w:tc>
      </w:tr>
      <w:tr w:rsidR="001D682D" w:rsidRPr="00CF50DC" w:rsidTr="00DF4192">
        <w:trPr>
          <w:trHeight w:val="227"/>
        </w:trPr>
        <w:tc>
          <w:tcPr>
            <w:tcW w:w="6538" w:type="dxa"/>
            <w:shd w:val="clear" w:color="auto" w:fill="auto"/>
            <w:vAlign w:val="center"/>
            <w:hideMark/>
          </w:tcPr>
          <w:p w:rsidR="001D682D" w:rsidRPr="00CF50DC" w:rsidRDefault="001D682D" w:rsidP="00CF50DC">
            <w:pPr>
              <w:pStyle w:val="Nzev"/>
              <w:jc w:val="left"/>
              <w:rPr>
                <w:szCs w:val="20"/>
              </w:rPr>
            </w:pPr>
            <w:r w:rsidRPr="00CF50DC">
              <w:rPr>
                <w:szCs w:val="20"/>
              </w:rPr>
              <w:t>Celkový podíl škol, které v posledních 5 letech investovaly z EU do infrastruktury školy (stavba, rekonstrukce, modernizace budovy, učebny, místnosti, dvora atp.)</w:t>
            </w:r>
          </w:p>
        </w:tc>
        <w:tc>
          <w:tcPr>
            <w:tcW w:w="992" w:type="dxa"/>
            <w:shd w:val="clear" w:color="000000" w:fill="FFFFFF"/>
            <w:vAlign w:val="center"/>
            <w:hideMark/>
          </w:tcPr>
          <w:p w:rsidR="001D682D" w:rsidRPr="00CF50DC" w:rsidRDefault="001D682D" w:rsidP="00CF50DC">
            <w:pPr>
              <w:pStyle w:val="Nzev"/>
              <w:jc w:val="center"/>
              <w:rPr>
                <w:szCs w:val="20"/>
              </w:rPr>
            </w:pPr>
            <w:r w:rsidRPr="00CF50DC">
              <w:rPr>
                <w:szCs w:val="20"/>
              </w:rPr>
              <w:t>63,2%</w:t>
            </w:r>
          </w:p>
        </w:tc>
        <w:tc>
          <w:tcPr>
            <w:tcW w:w="851" w:type="dxa"/>
            <w:shd w:val="clear" w:color="000000" w:fill="FFFFFF"/>
            <w:vAlign w:val="center"/>
            <w:hideMark/>
          </w:tcPr>
          <w:p w:rsidR="001D682D" w:rsidRPr="00CF50DC" w:rsidRDefault="001D682D" w:rsidP="00CF50DC">
            <w:pPr>
              <w:pStyle w:val="Nzev"/>
              <w:jc w:val="center"/>
              <w:rPr>
                <w:szCs w:val="20"/>
              </w:rPr>
            </w:pPr>
            <w:r w:rsidRPr="00CF50DC">
              <w:rPr>
                <w:szCs w:val="20"/>
              </w:rPr>
              <w:t>54,5%</w:t>
            </w:r>
          </w:p>
        </w:tc>
        <w:tc>
          <w:tcPr>
            <w:tcW w:w="708" w:type="dxa"/>
            <w:shd w:val="clear" w:color="000000" w:fill="FFFFFF"/>
            <w:vAlign w:val="center"/>
            <w:hideMark/>
          </w:tcPr>
          <w:p w:rsidR="001D682D" w:rsidRPr="00CF50DC" w:rsidRDefault="001D682D" w:rsidP="00CF50DC">
            <w:pPr>
              <w:pStyle w:val="Nzev"/>
              <w:jc w:val="center"/>
              <w:rPr>
                <w:szCs w:val="20"/>
              </w:rPr>
            </w:pPr>
            <w:r w:rsidRPr="00CF50DC">
              <w:rPr>
                <w:szCs w:val="20"/>
              </w:rPr>
              <w:t>52,7%</w:t>
            </w:r>
          </w:p>
        </w:tc>
      </w:tr>
      <w:tr w:rsidR="001D682D" w:rsidRPr="00CF50DC" w:rsidTr="00DF4192">
        <w:trPr>
          <w:trHeight w:val="227"/>
        </w:trPr>
        <w:tc>
          <w:tcPr>
            <w:tcW w:w="6538" w:type="dxa"/>
            <w:shd w:val="clear" w:color="auto" w:fill="auto"/>
            <w:vAlign w:val="center"/>
            <w:hideMark/>
          </w:tcPr>
          <w:p w:rsidR="001D682D" w:rsidRPr="00CF50DC" w:rsidRDefault="001D682D" w:rsidP="00CF50DC">
            <w:pPr>
              <w:pStyle w:val="Nzev"/>
              <w:jc w:val="left"/>
              <w:rPr>
                <w:szCs w:val="20"/>
              </w:rPr>
            </w:pPr>
            <w:r w:rsidRPr="00CF50DC">
              <w:rPr>
                <w:szCs w:val="20"/>
              </w:rPr>
              <w:t>Celkový podíl škol, které v posledních 5 letech investovaly z EU do vnitřního vybavení školy</w:t>
            </w:r>
          </w:p>
        </w:tc>
        <w:tc>
          <w:tcPr>
            <w:tcW w:w="992" w:type="dxa"/>
            <w:shd w:val="clear" w:color="auto" w:fill="D99594" w:themeFill="accent2" w:themeFillTint="99"/>
            <w:vAlign w:val="center"/>
            <w:hideMark/>
          </w:tcPr>
          <w:p w:rsidR="001D682D" w:rsidRPr="00CF50DC" w:rsidRDefault="001D682D" w:rsidP="00CF50DC">
            <w:pPr>
              <w:pStyle w:val="Nzev"/>
              <w:jc w:val="center"/>
              <w:rPr>
                <w:szCs w:val="20"/>
              </w:rPr>
            </w:pPr>
            <w:r w:rsidRPr="00CF50DC">
              <w:rPr>
                <w:szCs w:val="20"/>
              </w:rPr>
              <w:t>89,5%</w:t>
            </w:r>
          </w:p>
        </w:tc>
        <w:tc>
          <w:tcPr>
            <w:tcW w:w="851" w:type="dxa"/>
            <w:shd w:val="clear" w:color="000000" w:fill="FFFFFF"/>
            <w:vAlign w:val="center"/>
            <w:hideMark/>
          </w:tcPr>
          <w:p w:rsidR="001D682D" w:rsidRPr="00CF50DC" w:rsidRDefault="001D682D" w:rsidP="00CF50DC">
            <w:pPr>
              <w:pStyle w:val="Nzev"/>
              <w:jc w:val="center"/>
              <w:rPr>
                <w:szCs w:val="20"/>
              </w:rPr>
            </w:pPr>
            <w:r w:rsidRPr="00CF50DC">
              <w:rPr>
                <w:szCs w:val="20"/>
              </w:rPr>
              <w:t>93,4%</w:t>
            </w:r>
          </w:p>
        </w:tc>
        <w:tc>
          <w:tcPr>
            <w:tcW w:w="708" w:type="dxa"/>
            <w:shd w:val="clear" w:color="000000" w:fill="FFFFFF"/>
            <w:vAlign w:val="center"/>
            <w:hideMark/>
          </w:tcPr>
          <w:p w:rsidR="001D682D" w:rsidRPr="00CF50DC" w:rsidRDefault="001D682D" w:rsidP="00CF50DC">
            <w:pPr>
              <w:pStyle w:val="Nzev"/>
              <w:jc w:val="center"/>
              <w:rPr>
                <w:szCs w:val="20"/>
              </w:rPr>
            </w:pPr>
            <w:r w:rsidRPr="00CF50DC">
              <w:rPr>
                <w:szCs w:val="20"/>
              </w:rPr>
              <w:t>90,0%</w:t>
            </w:r>
          </w:p>
        </w:tc>
      </w:tr>
    </w:tbl>
    <w:p w:rsidR="00C53AE6" w:rsidRDefault="00974B01" w:rsidP="009D1458">
      <w:pPr>
        <w:pStyle w:val="Bezmezer"/>
      </w:pPr>
      <w:r>
        <w:t>V následující tabulce jsou do</w:t>
      </w:r>
      <w:r w:rsidR="00B554CA">
        <w:t xml:space="preserve"> patnáct</w:t>
      </w:r>
      <w:r>
        <w:t>i</w:t>
      </w:r>
      <w:r w:rsidR="00B554CA">
        <w:t xml:space="preserve"> témat</w:t>
      </w:r>
      <w:r>
        <w:t xml:space="preserve"> podrobněji rozepsány stavby a rekonstrukce, které školy v posledních pěti letech provedly s pomocí fondů EU. Další dva sloupce zaznamenávají podíl ZŠ, které v rámci dvou již známých obdobích plánují stavět nebo rekonstruovat. A poslední sloupec zaznamenává podíl škol</w:t>
      </w:r>
      <w:r w:rsidR="00D45393">
        <w:t>,</w:t>
      </w:r>
      <w:r>
        <w:t xml:space="preserve"> jejichž plán do budoucna se týká bezbariérovosti.</w:t>
      </w:r>
    </w:p>
    <w:p w:rsidR="00D54305" w:rsidRDefault="00D54305" w:rsidP="009D1458">
      <w:pPr>
        <w:pStyle w:val="Bezmezer"/>
      </w:pPr>
      <w:r>
        <w:t xml:space="preserve">Co se </w:t>
      </w:r>
      <w:r w:rsidR="003875AA">
        <w:rPr>
          <w:rFonts w:hint="eastAsia"/>
        </w:rPr>
        <w:t>proběh</w:t>
      </w:r>
      <w:r w:rsidR="003875AA">
        <w:t>nuvších</w:t>
      </w:r>
      <w:r>
        <w:t xml:space="preserve"> investic týká, tak suverénně nejčastějšími byly tyto tři:</w:t>
      </w:r>
    </w:p>
    <w:p w:rsidR="00D54305" w:rsidRPr="00A3320D" w:rsidRDefault="00D54305" w:rsidP="00D54305">
      <w:pPr>
        <w:pStyle w:val="Nzev"/>
        <w:numPr>
          <w:ilvl w:val="0"/>
          <w:numId w:val="33"/>
        </w:numPr>
        <w:rPr>
          <w:rFonts w:eastAsia="Times New Roman"/>
          <w:lang w:eastAsia="cs-CZ"/>
        </w:rPr>
      </w:pPr>
      <w:r w:rsidRPr="003A4AE6">
        <w:rPr>
          <w:szCs w:val="20"/>
        </w:rPr>
        <w:t>Ostatní rekonstrukce, udržovací práce a modernizace pláště budov; zateplení budov (projekty energeticky udržitelné školy apod.)</w:t>
      </w:r>
      <w:r w:rsidRPr="00A3320D">
        <w:rPr>
          <w:rFonts w:eastAsia="Times New Roman"/>
          <w:lang w:eastAsia="cs-CZ"/>
        </w:rPr>
        <w:t xml:space="preserve"> (</w:t>
      </w:r>
      <w:r>
        <w:rPr>
          <w:rFonts w:eastAsia="Times New Roman"/>
          <w:lang w:eastAsia="cs-CZ"/>
        </w:rPr>
        <w:t>42,1</w:t>
      </w:r>
      <w:r w:rsidRPr="00A3320D">
        <w:rPr>
          <w:rFonts w:eastAsia="Times New Roman"/>
          <w:lang w:eastAsia="cs-CZ"/>
        </w:rPr>
        <w:t xml:space="preserve"> %)</w:t>
      </w:r>
    </w:p>
    <w:p w:rsidR="00D54305" w:rsidRPr="00D54305" w:rsidRDefault="00D54305" w:rsidP="00D54305">
      <w:pPr>
        <w:pStyle w:val="Nzev"/>
        <w:numPr>
          <w:ilvl w:val="0"/>
          <w:numId w:val="33"/>
        </w:numPr>
      </w:pPr>
      <w:r w:rsidRPr="003A4AE6">
        <w:rPr>
          <w:szCs w:val="20"/>
        </w:rPr>
        <w:t>Stavební úpravy a rekonstrukce kmenových tříd</w:t>
      </w:r>
      <w:r w:rsidRPr="00A3320D">
        <w:rPr>
          <w:rFonts w:eastAsia="Times New Roman"/>
          <w:lang w:eastAsia="cs-CZ"/>
        </w:rPr>
        <w:t xml:space="preserve"> (</w:t>
      </w:r>
      <w:r>
        <w:rPr>
          <w:rFonts w:eastAsia="Times New Roman"/>
          <w:lang w:eastAsia="cs-CZ"/>
        </w:rPr>
        <w:t>21</w:t>
      </w:r>
      <w:r w:rsidRPr="00A3320D">
        <w:rPr>
          <w:rFonts w:eastAsia="Times New Roman"/>
          <w:lang w:eastAsia="cs-CZ"/>
        </w:rPr>
        <w:t>,</w:t>
      </w:r>
      <w:r>
        <w:rPr>
          <w:rFonts w:eastAsia="Times New Roman"/>
          <w:lang w:eastAsia="cs-CZ"/>
        </w:rPr>
        <w:t>1</w:t>
      </w:r>
      <w:r w:rsidRPr="00A3320D">
        <w:rPr>
          <w:rFonts w:eastAsia="Times New Roman"/>
          <w:lang w:eastAsia="cs-CZ"/>
        </w:rPr>
        <w:t xml:space="preserve"> %)</w:t>
      </w:r>
    </w:p>
    <w:p w:rsidR="00D54305" w:rsidRDefault="00D54305" w:rsidP="00D54305">
      <w:pPr>
        <w:pStyle w:val="Nzev"/>
        <w:numPr>
          <w:ilvl w:val="0"/>
          <w:numId w:val="33"/>
        </w:numPr>
        <w:rPr>
          <w:rFonts w:eastAsia="Times New Roman"/>
          <w:lang w:eastAsia="cs-CZ"/>
        </w:rPr>
      </w:pPr>
      <w:r w:rsidRPr="003A4AE6">
        <w:rPr>
          <w:szCs w:val="20"/>
        </w:rPr>
        <w:t>Stavební úpravy a vybavení na podporu podnětného venkovního prostředí školy např. hřiště, školní zahrady, dopravní hřiště, botanické zahrady, rybníky, učebny v přírodě, naučné stezky apod.</w:t>
      </w:r>
      <w:r w:rsidRPr="00D54305">
        <w:rPr>
          <w:rFonts w:eastAsia="Times New Roman"/>
          <w:lang w:eastAsia="cs-CZ"/>
        </w:rPr>
        <w:t xml:space="preserve"> </w:t>
      </w:r>
      <w:r w:rsidRPr="00A3320D">
        <w:rPr>
          <w:rFonts w:eastAsia="Times New Roman"/>
          <w:lang w:eastAsia="cs-CZ"/>
        </w:rPr>
        <w:t>(</w:t>
      </w:r>
      <w:r>
        <w:rPr>
          <w:rFonts w:eastAsia="Times New Roman"/>
          <w:lang w:eastAsia="cs-CZ"/>
        </w:rPr>
        <w:t>21</w:t>
      </w:r>
      <w:r w:rsidRPr="00A3320D">
        <w:rPr>
          <w:rFonts w:eastAsia="Times New Roman"/>
          <w:lang w:eastAsia="cs-CZ"/>
        </w:rPr>
        <w:t>,</w:t>
      </w:r>
      <w:r>
        <w:rPr>
          <w:rFonts w:eastAsia="Times New Roman"/>
          <w:lang w:eastAsia="cs-CZ"/>
        </w:rPr>
        <w:t>1</w:t>
      </w:r>
      <w:r w:rsidRPr="00A3320D">
        <w:rPr>
          <w:rFonts w:eastAsia="Times New Roman"/>
          <w:lang w:eastAsia="cs-CZ"/>
        </w:rPr>
        <w:t xml:space="preserve"> %)</w:t>
      </w:r>
    </w:p>
    <w:p w:rsidR="0038795C" w:rsidRDefault="00D1661C" w:rsidP="0038795C">
      <w:pPr>
        <w:pStyle w:val="Bezmezer"/>
        <w:rPr>
          <w:lang w:eastAsia="cs-CZ"/>
        </w:rPr>
      </w:pPr>
      <w:r w:rsidRPr="001F5397">
        <w:rPr>
          <w:b/>
          <w:lang w:eastAsia="cs-CZ"/>
        </w:rPr>
        <w:t>Prvotní investice</w:t>
      </w:r>
      <w:r>
        <w:rPr>
          <w:lang w:eastAsia="cs-CZ"/>
        </w:rPr>
        <w:t xml:space="preserve"> tak vedly, do </w:t>
      </w:r>
      <w:r w:rsidRPr="001F5397">
        <w:rPr>
          <w:b/>
          <w:lang w:eastAsia="cs-CZ"/>
        </w:rPr>
        <w:t>snížení energetické náročnosti</w:t>
      </w:r>
      <w:r>
        <w:rPr>
          <w:lang w:eastAsia="cs-CZ"/>
        </w:rPr>
        <w:t xml:space="preserve"> budov a to na všech analyzovaných úrovních. Zohledníme-li fakt, že většina škol jsou stávající, padesát i více let staré budovy, jeví se snížení jejich energetické náročnosti jako logický tah. Další dvě odrážky (rovněž nejčastější aktivity na všech sledovaných úrovních) se týkají </w:t>
      </w:r>
      <w:r w:rsidR="001F5397">
        <w:rPr>
          <w:lang w:eastAsia="cs-CZ"/>
        </w:rPr>
        <w:t xml:space="preserve">realizace </w:t>
      </w:r>
      <w:r w:rsidRPr="001F5397">
        <w:rPr>
          <w:b/>
          <w:lang w:eastAsia="cs-CZ"/>
        </w:rPr>
        <w:t>venkovních hřišť</w:t>
      </w:r>
      <w:r>
        <w:rPr>
          <w:lang w:eastAsia="cs-CZ"/>
        </w:rPr>
        <w:t xml:space="preserve"> a </w:t>
      </w:r>
      <w:r w:rsidRPr="001F5397">
        <w:rPr>
          <w:b/>
          <w:lang w:eastAsia="cs-CZ"/>
        </w:rPr>
        <w:t>úprav kmenových tříd</w:t>
      </w:r>
      <w:r>
        <w:rPr>
          <w:lang w:eastAsia="cs-CZ"/>
        </w:rPr>
        <w:t>.</w:t>
      </w:r>
      <w:r w:rsidR="001F5397">
        <w:rPr>
          <w:lang w:eastAsia="cs-CZ"/>
        </w:rPr>
        <w:t xml:space="preserve"> Naopak nejméně investic šlo do uměleckých učeben. Z výčtu je patrné, že školy řešily úpravy a opravy základní kostry celé školy.</w:t>
      </w:r>
    </w:p>
    <w:p w:rsidR="001F5397" w:rsidRPr="0038795C" w:rsidRDefault="001F5397" w:rsidP="0038795C">
      <w:pPr>
        <w:pStyle w:val="Bezmezer"/>
        <w:rPr>
          <w:lang w:eastAsia="cs-CZ"/>
        </w:rPr>
      </w:pPr>
      <w:r>
        <w:rPr>
          <w:lang w:eastAsia="cs-CZ"/>
        </w:rPr>
        <w:t xml:space="preserve">Doplníme-li předešlé plány na dvě následující období, vyplyne, že situace </w:t>
      </w:r>
      <w:r w:rsidRPr="0007569B">
        <w:rPr>
          <w:b/>
          <w:lang w:eastAsia="cs-CZ"/>
        </w:rPr>
        <w:t>se zásadně nemění ani do budoucna</w:t>
      </w:r>
      <w:r>
        <w:rPr>
          <w:lang w:eastAsia="cs-CZ"/>
        </w:rPr>
        <w:t xml:space="preserve">. Školy </w:t>
      </w:r>
      <w:r w:rsidR="008E7B76">
        <w:rPr>
          <w:lang w:eastAsia="cs-CZ"/>
        </w:rPr>
        <w:t xml:space="preserve">v regionu </w:t>
      </w:r>
      <w:r w:rsidRPr="0007569B">
        <w:rPr>
          <w:b/>
          <w:lang w:eastAsia="cs-CZ"/>
        </w:rPr>
        <w:t>stále nemají dořešené zcela bazální stavební práce</w:t>
      </w:r>
      <w:r>
        <w:rPr>
          <w:lang w:eastAsia="cs-CZ"/>
        </w:rPr>
        <w:t xml:space="preserve">, nadále chtějí </w:t>
      </w:r>
      <w:r w:rsidRPr="0007569B">
        <w:rPr>
          <w:b/>
          <w:lang w:eastAsia="cs-CZ"/>
        </w:rPr>
        <w:t>rozvíjet své venkovní zázemí</w:t>
      </w:r>
      <w:r>
        <w:rPr>
          <w:lang w:eastAsia="cs-CZ"/>
        </w:rPr>
        <w:t xml:space="preserve">. </w:t>
      </w:r>
      <w:r w:rsidR="00F76B81">
        <w:rPr>
          <w:lang w:eastAsia="cs-CZ"/>
        </w:rPr>
        <w:t>Tak jak by měly práce pokračovat</w:t>
      </w:r>
      <w:r w:rsidR="0007569B">
        <w:rPr>
          <w:lang w:eastAsia="cs-CZ"/>
        </w:rPr>
        <w:t>,</w:t>
      </w:r>
      <w:r w:rsidR="00F76B81">
        <w:rPr>
          <w:lang w:eastAsia="cs-CZ"/>
        </w:rPr>
        <w:t xml:space="preserve"> přijdou na řadu </w:t>
      </w:r>
      <w:r w:rsidR="00F76B81" w:rsidRPr="0007569B">
        <w:rPr>
          <w:b/>
          <w:lang w:eastAsia="cs-CZ"/>
        </w:rPr>
        <w:t>rekonstrukce dílen/ cvičných kuchyněk, jídelen/družin</w:t>
      </w:r>
      <w:r w:rsidR="00F76B81">
        <w:rPr>
          <w:lang w:eastAsia="cs-CZ"/>
        </w:rPr>
        <w:t xml:space="preserve"> a </w:t>
      </w:r>
      <w:r w:rsidR="0007569B">
        <w:rPr>
          <w:lang w:eastAsia="cs-CZ"/>
        </w:rPr>
        <w:t xml:space="preserve">konečně také </w:t>
      </w:r>
      <w:r w:rsidR="0007569B" w:rsidRPr="0007569B">
        <w:rPr>
          <w:b/>
          <w:lang w:eastAsia="cs-CZ"/>
        </w:rPr>
        <w:t>bezbariérovosti přístupů</w:t>
      </w:r>
      <w:r w:rsidR="0007569B">
        <w:rPr>
          <w:lang w:eastAsia="cs-CZ"/>
        </w:rPr>
        <w:t>.</w:t>
      </w:r>
    </w:p>
    <w:p w:rsidR="00FD780F" w:rsidRPr="00FA681B" w:rsidRDefault="00FD780F" w:rsidP="00FD780F">
      <w:pPr>
        <w:pStyle w:val="Nadpis5"/>
      </w:pPr>
      <w:r w:rsidRPr="00FA681B">
        <w:t xml:space="preserve">Tabulka: </w:t>
      </w:r>
      <w:r>
        <w:t>Stavby, rekonstrukce</w:t>
      </w:r>
    </w:p>
    <w:tbl>
      <w:tblPr>
        <w:tblW w:w="9089" w:type="dxa"/>
        <w:tblInd w:w="53" w:type="dxa"/>
        <w:tblBorders>
          <w:insideH w:val="single" w:sz="8" w:space="0" w:color="auto"/>
          <w:insideV w:val="single" w:sz="8" w:space="0" w:color="auto"/>
        </w:tblBorders>
        <w:tblLayout w:type="fixed"/>
        <w:tblCellMar>
          <w:left w:w="70" w:type="dxa"/>
          <w:right w:w="70" w:type="dxa"/>
        </w:tblCellMar>
        <w:tblLook w:val="04A0"/>
      </w:tblPr>
      <w:tblGrid>
        <w:gridCol w:w="3419"/>
        <w:gridCol w:w="993"/>
        <w:gridCol w:w="708"/>
        <w:gridCol w:w="709"/>
        <w:gridCol w:w="992"/>
        <w:gridCol w:w="993"/>
        <w:gridCol w:w="1275"/>
      </w:tblGrid>
      <w:tr w:rsidR="003A4AE6" w:rsidRPr="003A4AE6" w:rsidTr="00DF4192">
        <w:trPr>
          <w:trHeight w:val="227"/>
        </w:trPr>
        <w:tc>
          <w:tcPr>
            <w:tcW w:w="3419" w:type="dxa"/>
            <w:vMerge w:val="restart"/>
            <w:shd w:val="clear" w:color="000000" w:fill="FAC090"/>
            <w:vAlign w:val="center"/>
            <w:hideMark/>
          </w:tcPr>
          <w:p w:rsidR="00B554CA" w:rsidRPr="003A4AE6" w:rsidRDefault="00B554CA" w:rsidP="00CF50DC">
            <w:pPr>
              <w:pStyle w:val="Nzev"/>
              <w:jc w:val="left"/>
              <w:rPr>
                <w:szCs w:val="20"/>
              </w:rPr>
            </w:pPr>
          </w:p>
        </w:tc>
        <w:tc>
          <w:tcPr>
            <w:tcW w:w="2410" w:type="dxa"/>
            <w:gridSpan w:val="3"/>
            <w:shd w:val="clear" w:color="000000" w:fill="FAC090"/>
            <w:vAlign w:val="center"/>
            <w:hideMark/>
          </w:tcPr>
          <w:p w:rsidR="00B554CA" w:rsidRPr="003A4AE6" w:rsidRDefault="00B554CA" w:rsidP="003A4AE6">
            <w:pPr>
              <w:pStyle w:val="Nzev"/>
              <w:jc w:val="center"/>
              <w:rPr>
                <w:szCs w:val="20"/>
              </w:rPr>
            </w:pPr>
            <w:r w:rsidRPr="003A4AE6">
              <w:rPr>
                <w:szCs w:val="20"/>
              </w:rPr>
              <w:t>Podíl ZŠ, které v posledních 5 letech investovaly z EU do příslušné stavby / rekonstrukce školy</w:t>
            </w:r>
          </w:p>
        </w:tc>
        <w:tc>
          <w:tcPr>
            <w:tcW w:w="1985" w:type="dxa"/>
            <w:gridSpan w:val="2"/>
            <w:shd w:val="clear" w:color="000000" w:fill="FAC090"/>
            <w:vAlign w:val="center"/>
            <w:hideMark/>
          </w:tcPr>
          <w:p w:rsidR="00B554CA" w:rsidRPr="003A4AE6" w:rsidRDefault="00B554CA" w:rsidP="003A4AE6">
            <w:pPr>
              <w:pStyle w:val="Nzev"/>
              <w:jc w:val="center"/>
              <w:rPr>
                <w:szCs w:val="20"/>
              </w:rPr>
            </w:pPr>
            <w:r w:rsidRPr="003A4AE6">
              <w:rPr>
                <w:szCs w:val="20"/>
              </w:rPr>
              <w:t>Podíl ZŠ v rámci ORP plánujících stavět / rekonstruovat</w:t>
            </w:r>
          </w:p>
        </w:tc>
        <w:tc>
          <w:tcPr>
            <w:tcW w:w="1275" w:type="dxa"/>
            <w:vMerge w:val="restart"/>
            <w:shd w:val="clear" w:color="000000" w:fill="FAC090"/>
            <w:vAlign w:val="center"/>
            <w:hideMark/>
          </w:tcPr>
          <w:p w:rsidR="00B554CA" w:rsidRPr="003A4AE6" w:rsidRDefault="00B554CA" w:rsidP="003A4AE6">
            <w:pPr>
              <w:pStyle w:val="Nzev"/>
              <w:jc w:val="center"/>
              <w:rPr>
                <w:szCs w:val="20"/>
              </w:rPr>
            </w:pPr>
            <w:r w:rsidRPr="003A4AE6">
              <w:rPr>
                <w:szCs w:val="20"/>
              </w:rPr>
              <w:t>Podíl ZŠ v</w:t>
            </w:r>
            <w:r w:rsidR="003A4AE6" w:rsidRPr="003A4AE6">
              <w:rPr>
                <w:szCs w:val="20"/>
              </w:rPr>
              <w:t> </w:t>
            </w:r>
            <w:r w:rsidRPr="003A4AE6">
              <w:rPr>
                <w:szCs w:val="20"/>
              </w:rPr>
              <w:t>rámci</w:t>
            </w:r>
            <w:r w:rsidR="003A4AE6" w:rsidRPr="003A4AE6">
              <w:rPr>
                <w:szCs w:val="20"/>
              </w:rPr>
              <w:t xml:space="preserve"> SO</w:t>
            </w:r>
            <w:r w:rsidRPr="003A4AE6">
              <w:rPr>
                <w:szCs w:val="20"/>
              </w:rPr>
              <w:t xml:space="preserve"> ORP jejichž plán se bude týkat </w:t>
            </w:r>
            <w:proofErr w:type="spellStart"/>
            <w:r w:rsidRPr="003A4AE6">
              <w:rPr>
                <w:szCs w:val="20"/>
              </w:rPr>
              <w:t>bezbariér</w:t>
            </w:r>
            <w:proofErr w:type="spellEnd"/>
            <w:r w:rsidR="003A4AE6" w:rsidRPr="003A4AE6">
              <w:rPr>
                <w:szCs w:val="20"/>
              </w:rPr>
              <w:t>-</w:t>
            </w:r>
            <w:proofErr w:type="spellStart"/>
            <w:r w:rsidRPr="003A4AE6">
              <w:rPr>
                <w:szCs w:val="20"/>
              </w:rPr>
              <w:t>ovosti</w:t>
            </w:r>
            <w:proofErr w:type="spellEnd"/>
          </w:p>
        </w:tc>
      </w:tr>
      <w:tr w:rsidR="005374AD" w:rsidRPr="003A4AE6" w:rsidTr="00DF4192">
        <w:trPr>
          <w:trHeight w:val="227"/>
        </w:trPr>
        <w:tc>
          <w:tcPr>
            <w:tcW w:w="3419" w:type="dxa"/>
            <w:vMerge/>
            <w:vAlign w:val="center"/>
            <w:hideMark/>
          </w:tcPr>
          <w:p w:rsidR="00B554CA" w:rsidRPr="003A4AE6" w:rsidRDefault="00B554CA" w:rsidP="00CF50DC">
            <w:pPr>
              <w:pStyle w:val="Nzev"/>
              <w:jc w:val="left"/>
              <w:rPr>
                <w:szCs w:val="20"/>
              </w:rPr>
            </w:pPr>
          </w:p>
        </w:tc>
        <w:tc>
          <w:tcPr>
            <w:tcW w:w="993" w:type="dxa"/>
            <w:shd w:val="clear" w:color="000000" w:fill="FAC090"/>
            <w:vAlign w:val="center"/>
            <w:hideMark/>
          </w:tcPr>
          <w:p w:rsidR="00B554CA" w:rsidRPr="003A4AE6" w:rsidRDefault="00CF50DC" w:rsidP="003A4AE6">
            <w:pPr>
              <w:pStyle w:val="Nzev"/>
              <w:jc w:val="center"/>
              <w:rPr>
                <w:szCs w:val="20"/>
              </w:rPr>
            </w:pPr>
            <w:r w:rsidRPr="003A4AE6">
              <w:rPr>
                <w:szCs w:val="20"/>
              </w:rPr>
              <w:t xml:space="preserve">SO </w:t>
            </w:r>
            <w:r w:rsidR="00B554CA" w:rsidRPr="003A4AE6">
              <w:rPr>
                <w:szCs w:val="20"/>
              </w:rPr>
              <w:t>ORP</w:t>
            </w:r>
          </w:p>
        </w:tc>
        <w:tc>
          <w:tcPr>
            <w:tcW w:w="708" w:type="dxa"/>
            <w:shd w:val="clear" w:color="000000" w:fill="FAC090"/>
            <w:vAlign w:val="center"/>
            <w:hideMark/>
          </w:tcPr>
          <w:p w:rsidR="00B554CA" w:rsidRPr="003A4AE6" w:rsidRDefault="00B554CA" w:rsidP="003A4AE6">
            <w:pPr>
              <w:pStyle w:val="Nzev"/>
              <w:jc w:val="center"/>
              <w:rPr>
                <w:szCs w:val="20"/>
              </w:rPr>
            </w:pPr>
            <w:r w:rsidRPr="003A4AE6">
              <w:rPr>
                <w:szCs w:val="20"/>
              </w:rPr>
              <w:t>kraj</w:t>
            </w:r>
          </w:p>
        </w:tc>
        <w:tc>
          <w:tcPr>
            <w:tcW w:w="709" w:type="dxa"/>
            <w:shd w:val="clear" w:color="000000" w:fill="FAC090"/>
            <w:vAlign w:val="center"/>
            <w:hideMark/>
          </w:tcPr>
          <w:p w:rsidR="00B554CA" w:rsidRPr="003A4AE6" w:rsidRDefault="00B554CA" w:rsidP="003A4AE6">
            <w:pPr>
              <w:pStyle w:val="Nzev"/>
              <w:jc w:val="center"/>
              <w:rPr>
                <w:szCs w:val="20"/>
              </w:rPr>
            </w:pPr>
            <w:r w:rsidRPr="003A4AE6">
              <w:rPr>
                <w:szCs w:val="20"/>
              </w:rPr>
              <w:t>ČR</w:t>
            </w:r>
          </w:p>
        </w:tc>
        <w:tc>
          <w:tcPr>
            <w:tcW w:w="992" w:type="dxa"/>
            <w:shd w:val="clear" w:color="000000" w:fill="FAC090"/>
            <w:vAlign w:val="center"/>
            <w:hideMark/>
          </w:tcPr>
          <w:p w:rsidR="00B554CA" w:rsidRPr="003A4AE6" w:rsidRDefault="003A4AE6" w:rsidP="003A4AE6">
            <w:pPr>
              <w:pStyle w:val="Nzev"/>
              <w:jc w:val="center"/>
              <w:rPr>
                <w:szCs w:val="20"/>
              </w:rPr>
            </w:pPr>
            <w:r w:rsidRPr="003A4AE6">
              <w:rPr>
                <w:szCs w:val="20"/>
              </w:rPr>
              <w:t>2016–</w:t>
            </w:r>
            <w:r w:rsidR="00B554CA" w:rsidRPr="003A4AE6">
              <w:rPr>
                <w:szCs w:val="20"/>
              </w:rPr>
              <w:t>18</w:t>
            </w:r>
          </w:p>
        </w:tc>
        <w:tc>
          <w:tcPr>
            <w:tcW w:w="993" w:type="dxa"/>
            <w:shd w:val="clear" w:color="000000" w:fill="FAC090"/>
            <w:vAlign w:val="center"/>
            <w:hideMark/>
          </w:tcPr>
          <w:p w:rsidR="00B554CA" w:rsidRPr="003A4AE6" w:rsidRDefault="003A4AE6" w:rsidP="003A4AE6">
            <w:pPr>
              <w:pStyle w:val="Nzev"/>
              <w:jc w:val="center"/>
              <w:rPr>
                <w:szCs w:val="20"/>
              </w:rPr>
            </w:pPr>
            <w:r w:rsidRPr="003A4AE6">
              <w:rPr>
                <w:szCs w:val="20"/>
              </w:rPr>
              <w:t>2019–</w:t>
            </w:r>
            <w:r w:rsidR="00B554CA" w:rsidRPr="003A4AE6">
              <w:rPr>
                <w:szCs w:val="20"/>
              </w:rPr>
              <w:t>20</w:t>
            </w:r>
          </w:p>
        </w:tc>
        <w:tc>
          <w:tcPr>
            <w:tcW w:w="1275" w:type="dxa"/>
            <w:vMerge/>
            <w:vAlign w:val="center"/>
            <w:hideMark/>
          </w:tcPr>
          <w:p w:rsidR="00B554CA" w:rsidRPr="003A4AE6" w:rsidRDefault="00B554CA" w:rsidP="003A4AE6">
            <w:pPr>
              <w:pStyle w:val="Nzev"/>
              <w:jc w:val="center"/>
              <w:rPr>
                <w:szCs w:val="20"/>
              </w:rPr>
            </w:pP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Nová výstavba nebo přístavba budov</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10,3%</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5,7%</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Bezbariérové stavební úpravy a rekonstrukce</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5,3%</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4,7%</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4,0%</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26,3%</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15,8%</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36,8%</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Ostatní rekonstrukce, udržovací práce a modernizace pláště budov; zateplení budov (projekty energeticky udržitelné školy apod.)</w:t>
            </w:r>
          </w:p>
        </w:tc>
        <w:tc>
          <w:tcPr>
            <w:tcW w:w="993" w:type="dxa"/>
            <w:shd w:val="clear" w:color="000000" w:fill="C6EFCE"/>
            <w:noWrap/>
            <w:vAlign w:val="center"/>
            <w:hideMark/>
          </w:tcPr>
          <w:p w:rsidR="00B554CA" w:rsidRPr="003A4AE6" w:rsidRDefault="00B554CA" w:rsidP="003A4AE6">
            <w:pPr>
              <w:pStyle w:val="Nzev"/>
              <w:jc w:val="center"/>
              <w:rPr>
                <w:szCs w:val="20"/>
              </w:rPr>
            </w:pPr>
            <w:r w:rsidRPr="003A4AE6">
              <w:rPr>
                <w:szCs w:val="20"/>
              </w:rPr>
              <w:t>42,1%</w:t>
            </w:r>
          </w:p>
        </w:tc>
        <w:tc>
          <w:tcPr>
            <w:tcW w:w="708" w:type="dxa"/>
            <w:shd w:val="clear" w:color="000000" w:fill="C6EFCE"/>
            <w:noWrap/>
            <w:vAlign w:val="center"/>
            <w:hideMark/>
          </w:tcPr>
          <w:p w:rsidR="00B554CA" w:rsidRPr="003A4AE6" w:rsidRDefault="00B554CA" w:rsidP="003A4AE6">
            <w:pPr>
              <w:pStyle w:val="Nzev"/>
              <w:jc w:val="center"/>
              <w:rPr>
                <w:szCs w:val="20"/>
              </w:rPr>
            </w:pPr>
            <w:r w:rsidRPr="003A4AE6">
              <w:rPr>
                <w:szCs w:val="20"/>
              </w:rPr>
              <w:t>36,0%</w:t>
            </w:r>
          </w:p>
        </w:tc>
        <w:tc>
          <w:tcPr>
            <w:tcW w:w="709" w:type="dxa"/>
            <w:shd w:val="clear" w:color="000000" w:fill="C6EFCE"/>
            <w:noWrap/>
            <w:vAlign w:val="center"/>
            <w:hideMark/>
          </w:tcPr>
          <w:p w:rsidR="00B554CA" w:rsidRPr="003A4AE6" w:rsidRDefault="00B554CA" w:rsidP="003A4AE6">
            <w:pPr>
              <w:pStyle w:val="Nzev"/>
              <w:jc w:val="center"/>
              <w:rPr>
                <w:szCs w:val="20"/>
              </w:rPr>
            </w:pPr>
            <w:r w:rsidRPr="003A4AE6">
              <w:rPr>
                <w:szCs w:val="20"/>
              </w:rPr>
              <w:t>32,9%</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21,1%</w:t>
            </w:r>
          </w:p>
        </w:tc>
        <w:tc>
          <w:tcPr>
            <w:tcW w:w="993" w:type="dxa"/>
            <w:shd w:val="clear" w:color="000000" w:fill="C6EFCE"/>
            <w:vAlign w:val="center"/>
            <w:hideMark/>
          </w:tcPr>
          <w:p w:rsidR="00B554CA" w:rsidRPr="003A4AE6" w:rsidRDefault="00B554CA" w:rsidP="003A4AE6">
            <w:pPr>
              <w:pStyle w:val="Nzev"/>
              <w:jc w:val="center"/>
              <w:rPr>
                <w:szCs w:val="20"/>
              </w:rPr>
            </w:pPr>
            <w:r w:rsidRPr="003A4AE6">
              <w:rPr>
                <w:szCs w:val="20"/>
              </w:rPr>
              <w:t>36,8%</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5,3%</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kmenových tříd</w:t>
            </w:r>
          </w:p>
        </w:tc>
        <w:tc>
          <w:tcPr>
            <w:tcW w:w="993" w:type="dxa"/>
            <w:shd w:val="clear" w:color="000000" w:fill="C6EFCE"/>
            <w:noWrap/>
            <w:vAlign w:val="center"/>
            <w:hideMark/>
          </w:tcPr>
          <w:p w:rsidR="00B554CA" w:rsidRPr="003A4AE6" w:rsidRDefault="00B554CA" w:rsidP="003A4AE6">
            <w:pPr>
              <w:pStyle w:val="Nzev"/>
              <w:jc w:val="center"/>
              <w:rPr>
                <w:szCs w:val="20"/>
              </w:rPr>
            </w:pPr>
            <w:r w:rsidRPr="003A4AE6">
              <w:rPr>
                <w:szCs w:val="20"/>
              </w:rPr>
              <w:t>21,1%</w:t>
            </w:r>
          </w:p>
        </w:tc>
        <w:tc>
          <w:tcPr>
            <w:tcW w:w="708" w:type="dxa"/>
            <w:shd w:val="clear" w:color="000000" w:fill="C6EFCE"/>
            <w:noWrap/>
            <w:vAlign w:val="center"/>
            <w:hideMark/>
          </w:tcPr>
          <w:p w:rsidR="00B554CA" w:rsidRPr="003A4AE6" w:rsidRDefault="00B554CA" w:rsidP="003A4AE6">
            <w:pPr>
              <w:pStyle w:val="Nzev"/>
              <w:jc w:val="center"/>
              <w:rPr>
                <w:szCs w:val="20"/>
              </w:rPr>
            </w:pPr>
            <w:r w:rsidRPr="003A4AE6">
              <w:rPr>
                <w:szCs w:val="20"/>
              </w:rPr>
              <w:t>13,4%</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10,4%</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15,8%</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26,3%</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knihovny, informačního centra školy</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4,7%</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4,2%</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15,8%</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10,5%</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učebny cizích jazyků</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6,6%</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6,1%</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5,3%</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 xml:space="preserve">Stavební úpravy a rekonstrukce </w:t>
            </w:r>
            <w:r w:rsidRPr="003A4AE6">
              <w:rPr>
                <w:szCs w:val="20"/>
              </w:rPr>
              <w:lastRenderedPageBreak/>
              <w:t>učebny fyziky</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lastRenderedPageBreak/>
              <w:t>5,3%</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4,3%</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6,2%</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15,8%</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lastRenderedPageBreak/>
              <w:t>Stavební úpravy a rekonstrukce učebny chemie</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5,3%</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4,1%</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5,8%</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10,5%</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učebny přírodopisu</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5,3%</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2,9%</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4,5%</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5,3%</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10,5%</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učebny informatiky</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12,8%</w:t>
            </w:r>
          </w:p>
        </w:tc>
        <w:tc>
          <w:tcPr>
            <w:tcW w:w="709" w:type="dxa"/>
            <w:shd w:val="clear" w:color="000000" w:fill="C6EFCE"/>
            <w:noWrap/>
            <w:vAlign w:val="center"/>
            <w:hideMark/>
          </w:tcPr>
          <w:p w:rsidR="00B554CA" w:rsidRPr="003A4AE6" w:rsidRDefault="00B554CA" w:rsidP="003A4AE6">
            <w:pPr>
              <w:pStyle w:val="Nzev"/>
              <w:jc w:val="center"/>
              <w:rPr>
                <w:szCs w:val="20"/>
              </w:rPr>
            </w:pPr>
            <w:r w:rsidRPr="003A4AE6">
              <w:rPr>
                <w:szCs w:val="20"/>
              </w:rPr>
              <w:t>12,8%</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15,8%</w:t>
            </w:r>
          </w:p>
        </w:tc>
        <w:tc>
          <w:tcPr>
            <w:tcW w:w="993" w:type="dxa"/>
            <w:shd w:val="clear" w:color="auto" w:fill="auto"/>
            <w:vAlign w:val="center"/>
            <w:hideMark/>
          </w:tcPr>
          <w:p w:rsidR="00B554CA" w:rsidRPr="003A4AE6" w:rsidRDefault="00B554CA" w:rsidP="003A4AE6">
            <w:pPr>
              <w:pStyle w:val="Nzev"/>
              <w:jc w:val="center"/>
              <w:rPr>
                <w:szCs w:val="20"/>
              </w:rPr>
            </w:pPr>
            <w:r w:rsidRPr="003A4AE6">
              <w:rPr>
                <w:szCs w:val="20"/>
              </w:rPr>
              <w:t>10,5%</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tělocvičny</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15,8%</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7,6%</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6,0%</w:t>
            </w:r>
          </w:p>
        </w:tc>
        <w:tc>
          <w:tcPr>
            <w:tcW w:w="992" w:type="dxa"/>
            <w:shd w:val="clear" w:color="auto" w:fill="auto"/>
            <w:noWrap/>
            <w:vAlign w:val="center"/>
            <w:hideMark/>
          </w:tcPr>
          <w:p w:rsidR="00B554CA" w:rsidRPr="003A4AE6" w:rsidRDefault="00B554CA" w:rsidP="003A4AE6">
            <w:pPr>
              <w:pStyle w:val="Nzev"/>
              <w:jc w:val="center"/>
              <w:rPr>
                <w:szCs w:val="20"/>
              </w:rPr>
            </w:pPr>
            <w:r w:rsidRPr="003A4AE6">
              <w:rPr>
                <w:szCs w:val="20"/>
              </w:rPr>
              <w:t>15,8%</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21,1%</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5,3%</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 xml:space="preserve">Stavební úpravy a rekonstrukce učebny uměleckých předmětů (např. </w:t>
            </w:r>
            <w:proofErr w:type="spellStart"/>
            <w:r w:rsidRPr="003A4AE6">
              <w:rPr>
                <w:szCs w:val="20"/>
              </w:rPr>
              <w:t>hudebny</w:t>
            </w:r>
            <w:proofErr w:type="spellEnd"/>
            <w:r w:rsidRPr="003A4AE6">
              <w:rPr>
                <w:szCs w:val="20"/>
              </w:rPr>
              <w:t xml:space="preserve"> apod.)</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2,3%</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2,0%</w:t>
            </w:r>
          </w:p>
        </w:tc>
        <w:tc>
          <w:tcPr>
            <w:tcW w:w="992" w:type="dxa"/>
            <w:shd w:val="clear" w:color="auto" w:fill="auto"/>
            <w:vAlign w:val="center"/>
            <w:hideMark/>
          </w:tcPr>
          <w:p w:rsidR="00B554CA" w:rsidRPr="003A4AE6" w:rsidRDefault="00B554CA" w:rsidP="003A4AE6">
            <w:pPr>
              <w:pStyle w:val="Nzev"/>
              <w:jc w:val="center"/>
              <w:rPr>
                <w:szCs w:val="20"/>
              </w:rPr>
            </w:pPr>
            <w:r w:rsidRPr="003A4AE6">
              <w:rPr>
                <w:szCs w:val="20"/>
              </w:rPr>
              <w:t>10,5%</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15,8%</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dílny / cvičné kuchyňky</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9,1%</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8,1%</w:t>
            </w:r>
          </w:p>
        </w:tc>
        <w:tc>
          <w:tcPr>
            <w:tcW w:w="992" w:type="dxa"/>
            <w:shd w:val="clear" w:color="auto" w:fill="auto"/>
            <w:vAlign w:val="center"/>
            <w:hideMark/>
          </w:tcPr>
          <w:p w:rsidR="00B554CA" w:rsidRPr="003A4AE6" w:rsidRDefault="00B554CA" w:rsidP="003A4AE6">
            <w:pPr>
              <w:pStyle w:val="Nzev"/>
              <w:jc w:val="center"/>
              <w:rPr>
                <w:szCs w:val="20"/>
              </w:rPr>
            </w:pPr>
            <w:r w:rsidRPr="003A4AE6">
              <w:rPr>
                <w:szCs w:val="20"/>
              </w:rPr>
              <w:t>31,6%</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15,8%</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rekonstrukce školní jídelny, družiny, klubu apod.</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10,5%</w:t>
            </w:r>
          </w:p>
        </w:tc>
        <w:tc>
          <w:tcPr>
            <w:tcW w:w="708" w:type="dxa"/>
            <w:shd w:val="clear" w:color="auto" w:fill="auto"/>
            <w:noWrap/>
            <w:vAlign w:val="center"/>
            <w:hideMark/>
          </w:tcPr>
          <w:p w:rsidR="00B554CA" w:rsidRPr="003A4AE6" w:rsidRDefault="00B554CA" w:rsidP="003A4AE6">
            <w:pPr>
              <w:pStyle w:val="Nzev"/>
              <w:jc w:val="center"/>
              <w:rPr>
                <w:szCs w:val="20"/>
              </w:rPr>
            </w:pPr>
            <w:r w:rsidRPr="003A4AE6">
              <w:rPr>
                <w:szCs w:val="20"/>
              </w:rPr>
              <w:t>7,8%</w:t>
            </w:r>
          </w:p>
        </w:tc>
        <w:tc>
          <w:tcPr>
            <w:tcW w:w="709" w:type="dxa"/>
            <w:shd w:val="clear" w:color="auto" w:fill="auto"/>
            <w:noWrap/>
            <w:vAlign w:val="center"/>
            <w:hideMark/>
          </w:tcPr>
          <w:p w:rsidR="00B554CA" w:rsidRPr="003A4AE6" w:rsidRDefault="00B554CA" w:rsidP="003A4AE6">
            <w:pPr>
              <w:pStyle w:val="Nzev"/>
              <w:jc w:val="center"/>
              <w:rPr>
                <w:szCs w:val="20"/>
              </w:rPr>
            </w:pPr>
            <w:r w:rsidRPr="003A4AE6">
              <w:rPr>
                <w:szCs w:val="20"/>
              </w:rPr>
              <w:t>7,4%</w:t>
            </w:r>
          </w:p>
        </w:tc>
        <w:tc>
          <w:tcPr>
            <w:tcW w:w="992" w:type="dxa"/>
            <w:shd w:val="clear" w:color="auto" w:fill="auto"/>
            <w:vAlign w:val="center"/>
            <w:hideMark/>
          </w:tcPr>
          <w:p w:rsidR="00B554CA" w:rsidRPr="003A4AE6" w:rsidRDefault="00B554CA" w:rsidP="003A4AE6">
            <w:pPr>
              <w:pStyle w:val="Nzev"/>
              <w:jc w:val="center"/>
              <w:rPr>
                <w:szCs w:val="20"/>
              </w:rPr>
            </w:pPr>
            <w:r w:rsidRPr="003A4AE6">
              <w:rPr>
                <w:szCs w:val="20"/>
              </w:rPr>
              <w:t>31,6%</w:t>
            </w:r>
          </w:p>
        </w:tc>
        <w:tc>
          <w:tcPr>
            <w:tcW w:w="993" w:type="dxa"/>
            <w:shd w:val="clear" w:color="auto" w:fill="auto"/>
            <w:noWrap/>
            <w:vAlign w:val="center"/>
            <w:hideMark/>
          </w:tcPr>
          <w:p w:rsidR="00B554CA" w:rsidRPr="003A4AE6" w:rsidRDefault="00B554CA" w:rsidP="003A4AE6">
            <w:pPr>
              <w:pStyle w:val="Nzev"/>
              <w:jc w:val="center"/>
              <w:rPr>
                <w:szCs w:val="20"/>
              </w:rPr>
            </w:pPr>
            <w:r w:rsidRPr="003A4AE6">
              <w:rPr>
                <w:szCs w:val="20"/>
              </w:rPr>
              <w:t>21,1%</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5,3%</w:t>
            </w:r>
          </w:p>
        </w:tc>
      </w:tr>
      <w:tr w:rsidR="003A4AE6" w:rsidRPr="003A4AE6" w:rsidTr="00DF4192">
        <w:trPr>
          <w:trHeight w:val="227"/>
        </w:trPr>
        <w:tc>
          <w:tcPr>
            <w:tcW w:w="3419" w:type="dxa"/>
            <w:shd w:val="clear" w:color="auto" w:fill="auto"/>
            <w:vAlign w:val="center"/>
            <w:hideMark/>
          </w:tcPr>
          <w:p w:rsidR="00B554CA" w:rsidRPr="003A4AE6" w:rsidRDefault="00B554CA" w:rsidP="00CF50DC">
            <w:pPr>
              <w:pStyle w:val="Nzev"/>
              <w:jc w:val="left"/>
              <w:rPr>
                <w:szCs w:val="20"/>
              </w:rPr>
            </w:pPr>
            <w:r w:rsidRPr="003A4AE6">
              <w:rPr>
                <w:szCs w:val="20"/>
              </w:rPr>
              <w:t>Stavební úpravy a vybavení na podporu podnětného venkovního prostředí školy např. hřiště, školní zahrady, dopravní hřiště, botanické zahrady, rybníky, učebny v přírodě, naučné stezky apod.</w:t>
            </w:r>
          </w:p>
        </w:tc>
        <w:tc>
          <w:tcPr>
            <w:tcW w:w="993" w:type="dxa"/>
            <w:shd w:val="clear" w:color="000000" w:fill="C6EFCE"/>
            <w:noWrap/>
            <w:vAlign w:val="center"/>
            <w:hideMark/>
          </w:tcPr>
          <w:p w:rsidR="00B554CA" w:rsidRPr="003A4AE6" w:rsidRDefault="00B554CA" w:rsidP="003A4AE6">
            <w:pPr>
              <w:pStyle w:val="Nzev"/>
              <w:jc w:val="center"/>
              <w:rPr>
                <w:szCs w:val="20"/>
              </w:rPr>
            </w:pPr>
            <w:r w:rsidRPr="003A4AE6">
              <w:rPr>
                <w:szCs w:val="20"/>
              </w:rPr>
              <w:t>21,1%</w:t>
            </w:r>
          </w:p>
        </w:tc>
        <w:tc>
          <w:tcPr>
            <w:tcW w:w="708" w:type="dxa"/>
            <w:shd w:val="clear" w:color="000000" w:fill="C6EFCE"/>
            <w:noWrap/>
            <w:vAlign w:val="center"/>
            <w:hideMark/>
          </w:tcPr>
          <w:p w:rsidR="00B554CA" w:rsidRPr="003A4AE6" w:rsidRDefault="00B554CA" w:rsidP="003A4AE6">
            <w:pPr>
              <w:pStyle w:val="Nzev"/>
              <w:jc w:val="center"/>
              <w:rPr>
                <w:szCs w:val="20"/>
              </w:rPr>
            </w:pPr>
            <w:r w:rsidRPr="003A4AE6">
              <w:rPr>
                <w:szCs w:val="20"/>
              </w:rPr>
              <w:t>14,6%</w:t>
            </w:r>
          </w:p>
        </w:tc>
        <w:tc>
          <w:tcPr>
            <w:tcW w:w="709" w:type="dxa"/>
            <w:shd w:val="clear" w:color="000000" w:fill="C6EFCE"/>
            <w:noWrap/>
            <w:vAlign w:val="center"/>
            <w:hideMark/>
          </w:tcPr>
          <w:p w:rsidR="00B554CA" w:rsidRPr="003A4AE6" w:rsidRDefault="00B554CA" w:rsidP="003A4AE6">
            <w:pPr>
              <w:pStyle w:val="Nzev"/>
              <w:jc w:val="center"/>
              <w:rPr>
                <w:szCs w:val="20"/>
              </w:rPr>
            </w:pPr>
            <w:r w:rsidRPr="003A4AE6">
              <w:rPr>
                <w:szCs w:val="20"/>
              </w:rPr>
              <w:t>14,8%</w:t>
            </w:r>
          </w:p>
        </w:tc>
        <w:tc>
          <w:tcPr>
            <w:tcW w:w="992" w:type="dxa"/>
            <w:shd w:val="clear" w:color="000000" w:fill="C6EFCE"/>
            <w:vAlign w:val="center"/>
            <w:hideMark/>
          </w:tcPr>
          <w:p w:rsidR="00B554CA" w:rsidRPr="003A4AE6" w:rsidRDefault="00B554CA" w:rsidP="003A4AE6">
            <w:pPr>
              <w:pStyle w:val="Nzev"/>
              <w:jc w:val="center"/>
              <w:rPr>
                <w:szCs w:val="20"/>
              </w:rPr>
            </w:pPr>
            <w:r w:rsidRPr="003A4AE6">
              <w:rPr>
                <w:szCs w:val="20"/>
              </w:rPr>
              <w:t>42,1%</w:t>
            </w:r>
          </w:p>
        </w:tc>
        <w:tc>
          <w:tcPr>
            <w:tcW w:w="993" w:type="dxa"/>
            <w:shd w:val="clear" w:color="000000" w:fill="C6EFCE"/>
            <w:noWrap/>
            <w:vAlign w:val="center"/>
            <w:hideMark/>
          </w:tcPr>
          <w:p w:rsidR="00B554CA" w:rsidRPr="003A4AE6" w:rsidRDefault="00B554CA" w:rsidP="003A4AE6">
            <w:pPr>
              <w:pStyle w:val="Nzev"/>
              <w:jc w:val="center"/>
              <w:rPr>
                <w:szCs w:val="20"/>
              </w:rPr>
            </w:pPr>
            <w:r w:rsidRPr="003A4AE6">
              <w:rPr>
                <w:szCs w:val="20"/>
              </w:rPr>
              <w:t>57,9%</w:t>
            </w:r>
          </w:p>
        </w:tc>
        <w:tc>
          <w:tcPr>
            <w:tcW w:w="1275" w:type="dxa"/>
            <w:shd w:val="clear" w:color="auto" w:fill="auto"/>
            <w:noWrap/>
            <w:vAlign w:val="center"/>
            <w:hideMark/>
          </w:tcPr>
          <w:p w:rsidR="00B554CA" w:rsidRPr="003A4AE6" w:rsidRDefault="00B554CA" w:rsidP="003A4AE6">
            <w:pPr>
              <w:pStyle w:val="Nzev"/>
              <w:jc w:val="center"/>
              <w:rPr>
                <w:szCs w:val="20"/>
              </w:rPr>
            </w:pPr>
            <w:r w:rsidRPr="003A4AE6">
              <w:rPr>
                <w:szCs w:val="20"/>
              </w:rPr>
              <w:t>0,0%</w:t>
            </w:r>
          </w:p>
        </w:tc>
      </w:tr>
    </w:tbl>
    <w:p w:rsidR="00FD3884" w:rsidRDefault="00A11550" w:rsidP="00FD3884">
      <w:pPr>
        <w:pStyle w:val="Bezmezer"/>
      </w:pPr>
      <w:r>
        <w:t>Poslední tabulka celé kapitoly o ZŠ</w:t>
      </w:r>
      <w:r w:rsidR="00376B6B">
        <w:t xml:space="preserve"> se věnuje materiálnímu vybavení škol. </w:t>
      </w:r>
      <w:r w:rsidR="00FD3884">
        <w:t xml:space="preserve">Analyzuje celkem devatenáct témat a její struktura je až na poslední sloupec totožná s tabulkou předchozí. Mezi tři nejčastější </w:t>
      </w:r>
      <w:r w:rsidR="00FD3884">
        <w:rPr>
          <w:rFonts w:hint="eastAsia"/>
        </w:rPr>
        <w:t>proběh</w:t>
      </w:r>
      <w:r w:rsidR="00FD3884">
        <w:t>nuvší investice (které se opět do velké míry kryjí i s</w:t>
      </w:r>
      <w:r w:rsidR="00225E2E">
        <w:t> dalšími dvěma úrovněmi) patří:</w:t>
      </w:r>
    </w:p>
    <w:p w:rsidR="00FD3884" w:rsidRPr="00A3320D" w:rsidRDefault="00FD3884" w:rsidP="00FD3884">
      <w:pPr>
        <w:pStyle w:val="Nzev"/>
        <w:numPr>
          <w:ilvl w:val="0"/>
          <w:numId w:val="33"/>
        </w:numPr>
        <w:rPr>
          <w:rFonts w:eastAsia="Times New Roman"/>
          <w:lang w:eastAsia="cs-CZ"/>
        </w:rPr>
      </w:pPr>
      <w:r w:rsidRPr="00FD3884">
        <w:rPr>
          <w:rFonts w:eastAsia="Times New Roman"/>
          <w:lang w:eastAsia="cs-CZ"/>
        </w:rPr>
        <w:t>Interaktivní tabule</w:t>
      </w:r>
      <w:r w:rsidRPr="00A3320D">
        <w:rPr>
          <w:rFonts w:eastAsia="Times New Roman"/>
          <w:lang w:eastAsia="cs-CZ"/>
        </w:rPr>
        <w:t xml:space="preserve"> (</w:t>
      </w:r>
      <w:r>
        <w:rPr>
          <w:rFonts w:eastAsia="Times New Roman"/>
          <w:lang w:eastAsia="cs-CZ"/>
        </w:rPr>
        <w:t>89,5</w:t>
      </w:r>
      <w:r w:rsidRPr="00A3320D">
        <w:rPr>
          <w:rFonts w:eastAsia="Times New Roman"/>
          <w:lang w:eastAsia="cs-CZ"/>
        </w:rPr>
        <w:t xml:space="preserve"> %)</w:t>
      </w:r>
    </w:p>
    <w:p w:rsidR="00FD3884" w:rsidRPr="00D54305" w:rsidRDefault="00FD3884" w:rsidP="00FD3884">
      <w:pPr>
        <w:pStyle w:val="Nzev"/>
        <w:numPr>
          <w:ilvl w:val="0"/>
          <w:numId w:val="33"/>
        </w:numPr>
      </w:pPr>
      <w:r w:rsidRPr="00FD3884">
        <w:rPr>
          <w:rFonts w:eastAsia="Times New Roman"/>
          <w:lang w:eastAsia="cs-CZ"/>
        </w:rPr>
        <w:t>Software pro ICT techniku</w:t>
      </w:r>
      <w:r w:rsidRPr="00A3320D">
        <w:rPr>
          <w:rFonts w:eastAsia="Times New Roman"/>
          <w:lang w:eastAsia="cs-CZ"/>
        </w:rPr>
        <w:t xml:space="preserve"> (</w:t>
      </w:r>
      <w:r>
        <w:rPr>
          <w:rFonts w:eastAsia="Times New Roman"/>
          <w:lang w:eastAsia="cs-CZ"/>
        </w:rPr>
        <w:t>78</w:t>
      </w:r>
      <w:r w:rsidRPr="00A3320D">
        <w:rPr>
          <w:rFonts w:eastAsia="Times New Roman"/>
          <w:lang w:eastAsia="cs-CZ"/>
        </w:rPr>
        <w:t>,</w:t>
      </w:r>
      <w:r>
        <w:rPr>
          <w:rFonts w:eastAsia="Times New Roman"/>
          <w:lang w:eastAsia="cs-CZ"/>
        </w:rPr>
        <w:t>9</w:t>
      </w:r>
      <w:r w:rsidRPr="00A3320D">
        <w:rPr>
          <w:rFonts w:eastAsia="Times New Roman"/>
          <w:lang w:eastAsia="cs-CZ"/>
        </w:rPr>
        <w:t xml:space="preserve"> %)</w:t>
      </w:r>
    </w:p>
    <w:p w:rsidR="00FD3884" w:rsidRDefault="00FD3884" w:rsidP="00FD3884">
      <w:pPr>
        <w:pStyle w:val="Nzev"/>
        <w:numPr>
          <w:ilvl w:val="0"/>
          <w:numId w:val="33"/>
        </w:numPr>
        <w:rPr>
          <w:rFonts w:eastAsia="Times New Roman"/>
          <w:lang w:eastAsia="cs-CZ"/>
        </w:rPr>
      </w:pPr>
      <w:r w:rsidRPr="00FD3884">
        <w:rPr>
          <w:rFonts w:eastAsia="Times New Roman"/>
          <w:lang w:eastAsia="cs-CZ"/>
        </w:rPr>
        <w:t>Nové didaktické pomůcky</w:t>
      </w:r>
      <w:r w:rsidRPr="00D54305">
        <w:rPr>
          <w:rFonts w:eastAsia="Times New Roman"/>
          <w:lang w:eastAsia="cs-CZ"/>
        </w:rPr>
        <w:t xml:space="preserve"> </w:t>
      </w:r>
      <w:r w:rsidRPr="00A3320D">
        <w:rPr>
          <w:rFonts w:eastAsia="Times New Roman"/>
          <w:lang w:eastAsia="cs-CZ"/>
        </w:rPr>
        <w:t>(</w:t>
      </w:r>
      <w:r>
        <w:rPr>
          <w:rFonts w:eastAsia="Times New Roman"/>
          <w:lang w:eastAsia="cs-CZ"/>
        </w:rPr>
        <w:t>63</w:t>
      </w:r>
      <w:r w:rsidRPr="00A3320D">
        <w:rPr>
          <w:rFonts w:eastAsia="Times New Roman"/>
          <w:lang w:eastAsia="cs-CZ"/>
        </w:rPr>
        <w:t>,</w:t>
      </w:r>
      <w:r>
        <w:rPr>
          <w:rFonts w:eastAsia="Times New Roman"/>
          <w:lang w:eastAsia="cs-CZ"/>
        </w:rPr>
        <w:t>2</w:t>
      </w:r>
      <w:r w:rsidRPr="00A3320D">
        <w:rPr>
          <w:rFonts w:eastAsia="Times New Roman"/>
          <w:lang w:eastAsia="cs-CZ"/>
        </w:rPr>
        <w:t xml:space="preserve"> %)</w:t>
      </w:r>
    </w:p>
    <w:p w:rsidR="00A23A87" w:rsidRDefault="00AE7C20" w:rsidP="00AE7C20">
      <w:pPr>
        <w:pStyle w:val="Bezmezer"/>
      </w:pPr>
      <w:r>
        <w:t xml:space="preserve">Dominuje tak </w:t>
      </w:r>
      <w:r w:rsidRPr="00ED4C12">
        <w:rPr>
          <w:b/>
        </w:rPr>
        <w:t>elektronika</w:t>
      </w:r>
      <w:r>
        <w:t xml:space="preserve"> společně s </w:t>
      </w:r>
      <w:r w:rsidRPr="00ED4C12">
        <w:rPr>
          <w:b/>
        </w:rPr>
        <w:t>didaktickými pomůckami</w:t>
      </w:r>
      <w:r>
        <w:t>.</w:t>
      </w:r>
      <w:r w:rsidR="00ED4C12">
        <w:t xml:space="preserve"> I mezi širší okruh nejčastějších investic patří zejména vybavení počítačových učeben, nákup notebooků a </w:t>
      </w:r>
      <w:proofErr w:type="spellStart"/>
      <w:r w:rsidR="00ED4C12">
        <w:t>tabletů</w:t>
      </w:r>
      <w:proofErr w:type="spellEnd"/>
      <w:r w:rsidR="00ED4C12">
        <w:t xml:space="preserve">. Nejmenší zájem </w:t>
      </w:r>
      <w:r w:rsidR="007236C3">
        <w:t xml:space="preserve">byl </w:t>
      </w:r>
      <w:r w:rsidR="00ED4C12">
        <w:t xml:space="preserve">naopak o </w:t>
      </w:r>
      <w:r w:rsidR="007236C3">
        <w:t xml:space="preserve">specializované stroje nad 40 tis., </w:t>
      </w:r>
      <w:r w:rsidR="00A23A87">
        <w:t xml:space="preserve">bezbariérový nábytek nebo vybavení tělocvičen a uměleckých učeben. Tato situace má opět i určitou setrvačnost do budoucna, ale do plánu </w:t>
      </w:r>
      <w:r w:rsidR="002C6A0A">
        <w:t xml:space="preserve">na období 2016 – 2018 </w:t>
      </w:r>
      <w:r w:rsidR="00A23A87">
        <w:t>se dostaly i zcela nové položky a to zejména:</w:t>
      </w:r>
    </w:p>
    <w:p w:rsidR="00A23A87" w:rsidRPr="00A3320D" w:rsidRDefault="00A23A87" w:rsidP="00A23A87">
      <w:pPr>
        <w:pStyle w:val="Nzev"/>
        <w:numPr>
          <w:ilvl w:val="0"/>
          <w:numId w:val="33"/>
        </w:numPr>
        <w:rPr>
          <w:rFonts w:eastAsia="Times New Roman"/>
          <w:lang w:eastAsia="cs-CZ"/>
        </w:rPr>
      </w:pPr>
      <w:r w:rsidRPr="00FD3884">
        <w:rPr>
          <w:rFonts w:eastAsia="Times New Roman"/>
          <w:lang w:eastAsia="cs-CZ"/>
        </w:rPr>
        <w:t>Kompenzační/ speciální pomůcky pro žáky se SVP</w:t>
      </w:r>
      <w:r w:rsidRPr="00A3320D">
        <w:rPr>
          <w:rFonts w:eastAsia="Times New Roman"/>
          <w:lang w:eastAsia="cs-CZ"/>
        </w:rPr>
        <w:t xml:space="preserve"> (</w:t>
      </w:r>
      <w:r>
        <w:rPr>
          <w:rFonts w:eastAsia="Times New Roman"/>
          <w:lang w:eastAsia="cs-CZ"/>
        </w:rPr>
        <w:t>68,4</w:t>
      </w:r>
      <w:r w:rsidRPr="00A3320D">
        <w:rPr>
          <w:rFonts w:eastAsia="Times New Roman"/>
          <w:lang w:eastAsia="cs-CZ"/>
        </w:rPr>
        <w:t xml:space="preserve"> %)</w:t>
      </w:r>
    </w:p>
    <w:p w:rsidR="00A23A87" w:rsidRPr="00D54305" w:rsidRDefault="00A23A87" w:rsidP="00A23A87">
      <w:pPr>
        <w:pStyle w:val="Nzev"/>
        <w:numPr>
          <w:ilvl w:val="0"/>
          <w:numId w:val="33"/>
        </w:numPr>
      </w:pPr>
      <w:r w:rsidRPr="00FD3884">
        <w:rPr>
          <w:rFonts w:eastAsia="Times New Roman"/>
          <w:lang w:eastAsia="cs-CZ"/>
        </w:rPr>
        <w:t>Vybavení na podporu podnětného vnitřního prostředí školy např. čtenářské koutky, prostor na sdílení zkušeností z výuky, na rozvoj jednotlivých gramotností apod.</w:t>
      </w:r>
      <w:r w:rsidRPr="00A3320D">
        <w:rPr>
          <w:rFonts w:eastAsia="Times New Roman"/>
          <w:lang w:eastAsia="cs-CZ"/>
        </w:rPr>
        <w:t xml:space="preserve"> (</w:t>
      </w:r>
      <w:r>
        <w:rPr>
          <w:rFonts w:eastAsia="Times New Roman"/>
          <w:lang w:eastAsia="cs-CZ"/>
        </w:rPr>
        <w:t>57</w:t>
      </w:r>
      <w:r w:rsidRPr="00A3320D">
        <w:rPr>
          <w:rFonts w:eastAsia="Times New Roman"/>
          <w:lang w:eastAsia="cs-CZ"/>
        </w:rPr>
        <w:t>,</w:t>
      </w:r>
      <w:r>
        <w:rPr>
          <w:rFonts w:eastAsia="Times New Roman"/>
          <w:lang w:eastAsia="cs-CZ"/>
        </w:rPr>
        <w:t>9</w:t>
      </w:r>
      <w:r w:rsidRPr="00A3320D">
        <w:rPr>
          <w:rFonts w:eastAsia="Times New Roman"/>
          <w:lang w:eastAsia="cs-CZ"/>
        </w:rPr>
        <w:t xml:space="preserve"> %)</w:t>
      </w:r>
    </w:p>
    <w:p w:rsidR="00A23A87" w:rsidRDefault="002C6A0A" w:rsidP="00A23A87">
      <w:pPr>
        <w:pStyle w:val="Nzev"/>
        <w:numPr>
          <w:ilvl w:val="0"/>
          <w:numId w:val="33"/>
        </w:numPr>
        <w:rPr>
          <w:rFonts w:eastAsia="Times New Roman"/>
          <w:lang w:eastAsia="cs-CZ"/>
        </w:rPr>
      </w:pPr>
      <w:r w:rsidRPr="00FD3884">
        <w:rPr>
          <w:rFonts w:eastAsia="Times New Roman"/>
          <w:lang w:eastAsia="cs-CZ"/>
        </w:rPr>
        <w:t>Vybavení knihovny</w:t>
      </w:r>
      <w:r w:rsidR="00A23A87" w:rsidRPr="00D54305">
        <w:rPr>
          <w:rFonts w:eastAsia="Times New Roman"/>
          <w:lang w:eastAsia="cs-CZ"/>
        </w:rPr>
        <w:t xml:space="preserve"> </w:t>
      </w:r>
      <w:r w:rsidR="00A23A87" w:rsidRPr="00A3320D">
        <w:rPr>
          <w:rFonts w:eastAsia="Times New Roman"/>
          <w:lang w:eastAsia="cs-CZ"/>
        </w:rPr>
        <w:t>(</w:t>
      </w:r>
      <w:r>
        <w:rPr>
          <w:rFonts w:eastAsia="Times New Roman"/>
          <w:lang w:eastAsia="cs-CZ"/>
        </w:rPr>
        <w:t>52</w:t>
      </w:r>
      <w:r w:rsidR="00A23A87" w:rsidRPr="00A3320D">
        <w:rPr>
          <w:rFonts w:eastAsia="Times New Roman"/>
          <w:lang w:eastAsia="cs-CZ"/>
        </w:rPr>
        <w:t>,</w:t>
      </w:r>
      <w:r>
        <w:rPr>
          <w:rFonts w:eastAsia="Times New Roman"/>
          <w:lang w:eastAsia="cs-CZ"/>
        </w:rPr>
        <w:t>6</w:t>
      </w:r>
      <w:r w:rsidR="00A23A87" w:rsidRPr="00A3320D">
        <w:rPr>
          <w:rFonts w:eastAsia="Times New Roman"/>
          <w:lang w:eastAsia="cs-CZ"/>
        </w:rPr>
        <w:t xml:space="preserve"> %)</w:t>
      </w:r>
    </w:p>
    <w:p w:rsidR="00376B6B" w:rsidRPr="00FA681B" w:rsidRDefault="00376B6B" w:rsidP="00376B6B">
      <w:pPr>
        <w:pStyle w:val="Nadpis5"/>
      </w:pPr>
      <w:r w:rsidRPr="00FA681B">
        <w:t xml:space="preserve">Tabulka: </w:t>
      </w:r>
      <w:r>
        <w:t>Vybavení</w:t>
      </w:r>
    </w:p>
    <w:tbl>
      <w:tblPr>
        <w:tblW w:w="9089" w:type="dxa"/>
        <w:tblInd w:w="53" w:type="dxa"/>
        <w:tblBorders>
          <w:insideH w:val="single" w:sz="8" w:space="0" w:color="auto"/>
          <w:insideV w:val="single" w:sz="8" w:space="0" w:color="auto"/>
        </w:tblBorders>
        <w:tblLayout w:type="fixed"/>
        <w:tblCellMar>
          <w:left w:w="70" w:type="dxa"/>
          <w:right w:w="70" w:type="dxa"/>
        </w:tblCellMar>
        <w:tblLook w:val="04A0"/>
      </w:tblPr>
      <w:tblGrid>
        <w:gridCol w:w="4128"/>
        <w:gridCol w:w="992"/>
        <w:gridCol w:w="1134"/>
        <w:gridCol w:w="851"/>
        <w:gridCol w:w="992"/>
        <w:gridCol w:w="992"/>
      </w:tblGrid>
      <w:tr w:rsidR="00376B6B" w:rsidRPr="00FD3884" w:rsidTr="00934579">
        <w:trPr>
          <w:trHeight w:val="227"/>
        </w:trPr>
        <w:tc>
          <w:tcPr>
            <w:tcW w:w="4128" w:type="dxa"/>
            <w:vMerge w:val="restart"/>
            <w:shd w:val="clear" w:color="000000" w:fill="FAC090"/>
            <w:vAlign w:val="center"/>
            <w:hideMark/>
          </w:tcPr>
          <w:p w:rsidR="00376B6B" w:rsidRPr="00FD3884" w:rsidRDefault="00376B6B" w:rsidP="00376B6B">
            <w:pPr>
              <w:pStyle w:val="Nzev"/>
              <w:jc w:val="left"/>
              <w:rPr>
                <w:rFonts w:eastAsia="Times New Roman"/>
                <w:lang w:eastAsia="cs-CZ"/>
              </w:rPr>
            </w:pPr>
          </w:p>
        </w:tc>
        <w:tc>
          <w:tcPr>
            <w:tcW w:w="2977" w:type="dxa"/>
            <w:gridSpan w:val="3"/>
            <w:shd w:val="clear" w:color="000000" w:fill="FAC090"/>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Podíl ZŠ, které v posledních 5 letech investovaly z EU do příslušného vybavení školy</w:t>
            </w:r>
          </w:p>
        </w:tc>
        <w:tc>
          <w:tcPr>
            <w:tcW w:w="1984" w:type="dxa"/>
            <w:gridSpan w:val="2"/>
            <w:shd w:val="clear" w:color="000000" w:fill="FAC090"/>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Podíl ZŠ v rámci ORP plánujících pořízení vybavení</w:t>
            </w:r>
          </w:p>
        </w:tc>
      </w:tr>
      <w:tr w:rsidR="00376B6B" w:rsidRPr="00FD3884" w:rsidTr="00934579">
        <w:trPr>
          <w:trHeight w:val="227"/>
        </w:trPr>
        <w:tc>
          <w:tcPr>
            <w:tcW w:w="4128" w:type="dxa"/>
            <w:vMerge/>
            <w:vAlign w:val="center"/>
            <w:hideMark/>
          </w:tcPr>
          <w:p w:rsidR="00376B6B" w:rsidRPr="00FD3884" w:rsidRDefault="00376B6B" w:rsidP="00376B6B">
            <w:pPr>
              <w:pStyle w:val="Nzev"/>
              <w:jc w:val="left"/>
              <w:rPr>
                <w:rFonts w:eastAsia="Times New Roman"/>
                <w:lang w:eastAsia="cs-CZ"/>
              </w:rPr>
            </w:pPr>
          </w:p>
        </w:tc>
        <w:tc>
          <w:tcPr>
            <w:tcW w:w="992" w:type="dxa"/>
            <w:shd w:val="clear" w:color="000000" w:fill="FAC090"/>
            <w:vAlign w:val="center"/>
            <w:hideMark/>
          </w:tcPr>
          <w:p w:rsidR="00376B6B" w:rsidRPr="00FD3884" w:rsidRDefault="00095CA7" w:rsidP="00934579">
            <w:pPr>
              <w:pStyle w:val="Nzev"/>
              <w:jc w:val="center"/>
              <w:rPr>
                <w:rFonts w:eastAsia="Times New Roman"/>
                <w:lang w:eastAsia="cs-CZ"/>
              </w:rPr>
            </w:pPr>
            <w:r w:rsidRPr="00FD3884">
              <w:rPr>
                <w:rFonts w:eastAsia="Times New Roman"/>
                <w:lang w:eastAsia="cs-CZ"/>
              </w:rPr>
              <w:t>SO</w:t>
            </w:r>
            <w:r w:rsidR="00376B6B" w:rsidRPr="00FD3884">
              <w:rPr>
                <w:rFonts w:eastAsia="Times New Roman"/>
                <w:lang w:eastAsia="cs-CZ"/>
              </w:rPr>
              <w:t xml:space="preserve"> ORP</w:t>
            </w:r>
          </w:p>
        </w:tc>
        <w:tc>
          <w:tcPr>
            <w:tcW w:w="1134" w:type="dxa"/>
            <w:shd w:val="clear" w:color="000000" w:fill="FAC090"/>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kraj</w:t>
            </w:r>
          </w:p>
        </w:tc>
        <w:tc>
          <w:tcPr>
            <w:tcW w:w="851" w:type="dxa"/>
            <w:shd w:val="clear" w:color="000000" w:fill="FAC090"/>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ČR</w:t>
            </w:r>
          </w:p>
        </w:tc>
        <w:tc>
          <w:tcPr>
            <w:tcW w:w="992" w:type="dxa"/>
            <w:shd w:val="clear" w:color="000000" w:fill="FAC090"/>
            <w:vAlign w:val="center"/>
            <w:hideMark/>
          </w:tcPr>
          <w:p w:rsidR="00376B6B" w:rsidRPr="00FD3884" w:rsidRDefault="00934579" w:rsidP="00934579">
            <w:pPr>
              <w:pStyle w:val="Nzev"/>
              <w:jc w:val="center"/>
              <w:rPr>
                <w:rFonts w:eastAsia="Times New Roman"/>
                <w:lang w:eastAsia="cs-CZ"/>
              </w:rPr>
            </w:pPr>
            <w:r w:rsidRPr="00FD3884">
              <w:rPr>
                <w:rFonts w:eastAsia="Times New Roman"/>
                <w:lang w:eastAsia="cs-CZ"/>
              </w:rPr>
              <w:t>2016 –</w:t>
            </w:r>
            <w:r w:rsidR="00376B6B" w:rsidRPr="00FD3884">
              <w:rPr>
                <w:rFonts w:eastAsia="Times New Roman"/>
                <w:lang w:eastAsia="cs-CZ"/>
              </w:rPr>
              <w:t>18</w:t>
            </w:r>
          </w:p>
        </w:tc>
        <w:tc>
          <w:tcPr>
            <w:tcW w:w="992" w:type="dxa"/>
            <w:shd w:val="clear" w:color="000000" w:fill="FAC090"/>
            <w:vAlign w:val="center"/>
            <w:hideMark/>
          </w:tcPr>
          <w:p w:rsidR="00376B6B" w:rsidRPr="00FD3884" w:rsidRDefault="00934579" w:rsidP="00934579">
            <w:pPr>
              <w:pStyle w:val="Nzev"/>
              <w:jc w:val="center"/>
              <w:rPr>
                <w:rFonts w:eastAsia="Times New Roman"/>
                <w:lang w:eastAsia="cs-CZ"/>
              </w:rPr>
            </w:pPr>
            <w:r w:rsidRPr="00FD3884">
              <w:rPr>
                <w:rFonts w:eastAsia="Times New Roman"/>
                <w:lang w:eastAsia="cs-CZ"/>
              </w:rPr>
              <w:t>2019–</w:t>
            </w:r>
            <w:r w:rsidR="00376B6B" w:rsidRPr="00FD3884">
              <w:rPr>
                <w:rFonts w:eastAsia="Times New Roman"/>
                <w:lang w:eastAsia="cs-CZ"/>
              </w:rPr>
              <w:t>20</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kmenových tříd</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42,1%</w:t>
            </w:r>
          </w:p>
        </w:tc>
        <w:tc>
          <w:tcPr>
            <w:tcW w:w="1134"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35,6%</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34,2%</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polytechnických učeben (fyziky, chemie, přírodopisu, dílny, kuchyňky apod.)</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42,1%</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28,4%</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29,9%</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26,3%</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jazykové učebny</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21,1%</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13,8%</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17,3%</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26,3%</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knihovny</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35,2%</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32,4%</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52,6%</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15,8%</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počítačové učebny (stolní počítače)</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57,9%</w:t>
            </w:r>
          </w:p>
        </w:tc>
        <w:tc>
          <w:tcPr>
            <w:tcW w:w="1134" w:type="dxa"/>
            <w:shd w:val="clear" w:color="000000" w:fill="C6EFCE"/>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60,5%</w:t>
            </w:r>
          </w:p>
        </w:tc>
        <w:tc>
          <w:tcPr>
            <w:tcW w:w="851" w:type="dxa"/>
            <w:shd w:val="clear" w:color="000000" w:fill="C6EFCE"/>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55,2%</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mobilní počítačové učebny (např. notebooky, tablety)</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42,1%</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43,8%</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41,5%</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42,1%</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tělocvičny</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5,3%</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6,6%</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6,5%</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26,3%</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lastRenderedPageBreak/>
              <w:t>Vybavení umělecké učebny</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5,3%</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4,7%</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3,5%</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21,1%</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dílny / cvičné kuchyňky</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15,8%</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21,8%</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22,8%</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školní jídelny, družiny, klubu apod.</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10,5%</w:t>
            </w:r>
          </w:p>
        </w:tc>
        <w:tc>
          <w:tcPr>
            <w:tcW w:w="1134"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6,8%</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7,2%</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42,1%</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26,3%</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Software pro ICT techniku</w:t>
            </w:r>
          </w:p>
        </w:tc>
        <w:tc>
          <w:tcPr>
            <w:tcW w:w="992" w:type="dxa"/>
            <w:shd w:val="clear" w:color="000000" w:fill="C6EFCE"/>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78,9%</w:t>
            </w:r>
          </w:p>
        </w:tc>
        <w:tc>
          <w:tcPr>
            <w:tcW w:w="1134" w:type="dxa"/>
            <w:shd w:val="clear" w:color="000000" w:fill="C6EFCE"/>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58,0%</w:t>
            </w:r>
          </w:p>
        </w:tc>
        <w:tc>
          <w:tcPr>
            <w:tcW w:w="851" w:type="dxa"/>
            <w:shd w:val="clear" w:color="000000" w:fill="C6EFCE"/>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55,3%</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47,4%</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Nové didaktické pomůcky</w:t>
            </w:r>
          </w:p>
        </w:tc>
        <w:tc>
          <w:tcPr>
            <w:tcW w:w="992" w:type="dxa"/>
            <w:shd w:val="clear" w:color="000000" w:fill="C6EFCE"/>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63,2%</w:t>
            </w:r>
          </w:p>
        </w:tc>
        <w:tc>
          <w:tcPr>
            <w:tcW w:w="1134"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46,5%</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38,0%</w:t>
            </w:r>
          </w:p>
        </w:tc>
        <w:tc>
          <w:tcPr>
            <w:tcW w:w="992" w:type="dxa"/>
            <w:shd w:val="clear" w:color="000000" w:fill="C6EFCE"/>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57,9%</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Připojení k internetu ve třídách, na škole a ve školských zařízeních</w:t>
            </w:r>
          </w:p>
        </w:tc>
        <w:tc>
          <w:tcPr>
            <w:tcW w:w="992"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c>
          <w:tcPr>
            <w:tcW w:w="1134"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21,6%</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24,8%</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15,8%</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5,3%</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Interaktivní tabule</w:t>
            </w:r>
          </w:p>
        </w:tc>
        <w:tc>
          <w:tcPr>
            <w:tcW w:w="992" w:type="dxa"/>
            <w:shd w:val="clear" w:color="000000" w:fill="C6EFCE"/>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89,5%</w:t>
            </w:r>
          </w:p>
        </w:tc>
        <w:tc>
          <w:tcPr>
            <w:tcW w:w="1134" w:type="dxa"/>
            <w:shd w:val="clear" w:color="000000" w:fill="C6EFCE"/>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69,1%</w:t>
            </w:r>
          </w:p>
        </w:tc>
        <w:tc>
          <w:tcPr>
            <w:tcW w:w="851" w:type="dxa"/>
            <w:shd w:val="clear" w:color="000000" w:fill="C6EFCE"/>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66,7%</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21,1%</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31,6%</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Audiovizuální technika (televize, projektory apod.)</w:t>
            </w:r>
          </w:p>
        </w:tc>
        <w:tc>
          <w:tcPr>
            <w:tcW w:w="992"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47,4%</w:t>
            </w:r>
          </w:p>
        </w:tc>
        <w:tc>
          <w:tcPr>
            <w:tcW w:w="1134"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51,4%</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48,4%</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26,3%</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21,1%</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Stroje či jiné vybavení nad 40 tis. Kč (vyjma strojů řízených počítačem)</w:t>
            </w:r>
          </w:p>
        </w:tc>
        <w:tc>
          <w:tcPr>
            <w:tcW w:w="992"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0,0%</w:t>
            </w:r>
          </w:p>
        </w:tc>
        <w:tc>
          <w:tcPr>
            <w:tcW w:w="1134"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2,3%</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2,0%</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10,5%</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10,5%</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Vybavení bezbariérovým nábytkem, přístroji, elektronikou pro žáky se SVP</w:t>
            </w:r>
          </w:p>
        </w:tc>
        <w:tc>
          <w:tcPr>
            <w:tcW w:w="992"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0,0%</w:t>
            </w:r>
          </w:p>
        </w:tc>
        <w:tc>
          <w:tcPr>
            <w:tcW w:w="1134"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3,9%</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2,9%</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36,8%</w:t>
            </w:r>
          </w:p>
        </w:tc>
      </w:tr>
      <w:tr w:rsidR="00376B6B" w:rsidRPr="00FD3884" w:rsidTr="00934579">
        <w:trPr>
          <w:trHeight w:val="227"/>
        </w:trPr>
        <w:tc>
          <w:tcPr>
            <w:tcW w:w="4128" w:type="dxa"/>
            <w:shd w:val="clear" w:color="auto" w:fill="auto"/>
            <w:vAlign w:val="center"/>
            <w:hideMark/>
          </w:tcPr>
          <w:p w:rsidR="00376B6B" w:rsidRPr="00FD3884" w:rsidRDefault="00376B6B" w:rsidP="00376B6B">
            <w:pPr>
              <w:pStyle w:val="Nzev"/>
              <w:jc w:val="left"/>
              <w:rPr>
                <w:rFonts w:eastAsia="Times New Roman"/>
                <w:lang w:eastAsia="cs-CZ"/>
              </w:rPr>
            </w:pPr>
            <w:r w:rsidRPr="00FD3884">
              <w:rPr>
                <w:rFonts w:eastAsia="Times New Roman"/>
                <w:lang w:eastAsia="cs-CZ"/>
              </w:rPr>
              <w:t>Kompenzační/ speciální pomůcky pro žáky se SVP</w:t>
            </w:r>
          </w:p>
        </w:tc>
        <w:tc>
          <w:tcPr>
            <w:tcW w:w="992" w:type="dxa"/>
            <w:shd w:val="clear" w:color="auto" w:fill="auto"/>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15,8%</w:t>
            </w:r>
          </w:p>
        </w:tc>
        <w:tc>
          <w:tcPr>
            <w:tcW w:w="1134"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15,4%</w:t>
            </w:r>
          </w:p>
        </w:tc>
        <w:tc>
          <w:tcPr>
            <w:tcW w:w="851"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12,3%</w:t>
            </w:r>
          </w:p>
        </w:tc>
        <w:tc>
          <w:tcPr>
            <w:tcW w:w="992" w:type="dxa"/>
            <w:shd w:val="clear" w:color="000000" w:fill="C6EFCE"/>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68,4%</w:t>
            </w:r>
          </w:p>
        </w:tc>
        <w:tc>
          <w:tcPr>
            <w:tcW w:w="992" w:type="dxa"/>
            <w:shd w:val="clear" w:color="auto" w:fill="auto"/>
            <w:noWrap/>
            <w:vAlign w:val="center"/>
            <w:hideMark/>
          </w:tcPr>
          <w:p w:rsidR="00376B6B" w:rsidRPr="00FD3884" w:rsidRDefault="00376B6B" w:rsidP="00934579">
            <w:pPr>
              <w:pStyle w:val="Nzev"/>
              <w:jc w:val="center"/>
              <w:rPr>
                <w:rFonts w:eastAsia="Times New Roman"/>
                <w:lang w:eastAsia="cs-CZ"/>
              </w:rPr>
            </w:pPr>
            <w:r w:rsidRPr="00FD3884">
              <w:rPr>
                <w:rFonts w:eastAsia="Times New Roman"/>
                <w:lang w:eastAsia="cs-CZ"/>
              </w:rPr>
              <w:t>42,1%</w:t>
            </w:r>
          </w:p>
        </w:tc>
      </w:tr>
      <w:tr w:rsidR="00376B6B" w:rsidRPr="00933A42" w:rsidTr="00934579">
        <w:trPr>
          <w:trHeight w:val="227"/>
        </w:trPr>
        <w:tc>
          <w:tcPr>
            <w:tcW w:w="4128" w:type="dxa"/>
            <w:shd w:val="clear" w:color="auto" w:fill="auto"/>
            <w:vAlign w:val="center"/>
            <w:hideMark/>
          </w:tcPr>
          <w:p w:rsidR="00376B6B" w:rsidRPr="00933A42" w:rsidRDefault="00376B6B" w:rsidP="00376B6B">
            <w:pPr>
              <w:pStyle w:val="Nzev"/>
              <w:jc w:val="left"/>
              <w:rPr>
                <w:rFonts w:eastAsia="Times New Roman"/>
                <w:lang w:eastAsia="cs-CZ"/>
              </w:rPr>
            </w:pPr>
            <w:r w:rsidRPr="00933A42">
              <w:rPr>
                <w:rFonts w:eastAsia="Times New Roman"/>
                <w:lang w:eastAsia="cs-CZ"/>
              </w:rPr>
              <w:t>Vybavení na podporu podnětného vnitřního prostředí školy např. čtenářské koutky, prostor na sdílení zkušeností z výuky, na rozvoj jednotlivých gramotností apod.</w:t>
            </w:r>
          </w:p>
        </w:tc>
        <w:tc>
          <w:tcPr>
            <w:tcW w:w="992" w:type="dxa"/>
            <w:shd w:val="clear" w:color="auto" w:fill="auto"/>
            <w:vAlign w:val="center"/>
            <w:hideMark/>
          </w:tcPr>
          <w:p w:rsidR="00376B6B" w:rsidRPr="00933A42" w:rsidRDefault="00376B6B" w:rsidP="00934579">
            <w:pPr>
              <w:pStyle w:val="Nzev"/>
              <w:jc w:val="center"/>
              <w:rPr>
                <w:rFonts w:eastAsia="Times New Roman"/>
                <w:lang w:eastAsia="cs-CZ"/>
              </w:rPr>
            </w:pPr>
            <w:r w:rsidRPr="00933A42">
              <w:rPr>
                <w:rFonts w:eastAsia="Times New Roman"/>
                <w:lang w:eastAsia="cs-CZ"/>
              </w:rPr>
              <w:t>15,8%</w:t>
            </w:r>
          </w:p>
        </w:tc>
        <w:tc>
          <w:tcPr>
            <w:tcW w:w="1134" w:type="dxa"/>
            <w:shd w:val="clear" w:color="auto" w:fill="auto"/>
            <w:noWrap/>
            <w:vAlign w:val="center"/>
            <w:hideMark/>
          </w:tcPr>
          <w:p w:rsidR="00376B6B" w:rsidRPr="00933A42" w:rsidRDefault="00376B6B" w:rsidP="00934579">
            <w:pPr>
              <w:pStyle w:val="Nzev"/>
              <w:jc w:val="center"/>
              <w:rPr>
                <w:rFonts w:eastAsia="Times New Roman"/>
                <w:lang w:eastAsia="cs-CZ"/>
              </w:rPr>
            </w:pPr>
            <w:r w:rsidRPr="00933A42">
              <w:rPr>
                <w:rFonts w:eastAsia="Times New Roman"/>
                <w:lang w:eastAsia="cs-CZ"/>
              </w:rPr>
              <w:t>17,1%</w:t>
            </w:r>
          </w:p>
        </w:tc>
        <w:tc>
          <w:tcPr>
            <w:tcW w:w="851" w:type="dxa"/>
            <w:shd w:val="clear" w:color="auto" w:fill="auto"/>
            <w:noWrap/>
            <w:vAlign w:val="center"/>
            <w:hideMark/>
          </w:tcPr>
          <w:p w:rsidR="00376B6B" w:rsidRPr="00933A42" w:rsidRDefault="00376B6B" w:rsidP="00934579">
            <w:pPr>
              <w:pStyle w:val="Nzev"/>
              <w:jc w:val="center"/>
              <w:rPr>
                <w:rFonts w:eastAsia="Times New Roman"/>
                <w:lang w:eastAsia="cs-CZ"/>
              </w:rPr>
            </w:pPr>
            <w:r w:rsidRPr="00933A42">
              <w:rPr>
                <w:rFonts w:eastAsia="Times New Roman"/>
                <w:lang w:eastAsia="cs-CZ"/>
              </w:rPr>
              <w:t>13,1%</w:t>
            </w:r>
          </w:p>
        </w:tc>
        <w:tc>
          <w:tcPr>
            <w:tcW w:w="992" w:type="dxa"/>
            <w:shd w:val="clear" w:color="000000" w:fill="C6EFCE"/>
            <w:noWrap/>
            <w:vAlign w:val="center"/>
            <w:hideMark/>
          </w:tcPr>
          <w:p w:rsidR="00376B6B" w:rsidRPr="00933A42" w:rsidRDefault="00376B6B" w:rsidP="00934579">
            <w:pPr>
              <w:pStyle w:val="Nzev"/>
              <w:jc w:val="center"/>
              <w:rPr>
                <w:rFonts w:eastAsia="Times New Roman"/>
                <w:lang w:eastAsia="cs-CZ"/>
              </w:rPr>
            </w:pPr>
            <w:r w:rsidRPr="00933A42">
              <w:rPr>
                <w:rFonts w:eastAsia="Times New Roman"/>
                <w:lang w:eastAsia="cs-CZ"/>
              </w:rPr>
              <w:t>57,9%</w:t>
            </w:r>
          </w:p>
        </w:tc>
        <w:tc>
          <w:tcPr>
            <w:tcW w:w="992" w:type="dxa"/>
            <w:shd w:val="clear" w:color="auto" w:fill="auto"/>
            <w:noWrap/>
            <w:vAlign w:val="center"/>
            <w:hideMark/>
          </w:tcPr>
          <w:p w:rsidR="00376B6B" w:rsidRPr="00933A42" w:rsidRDefault="00376B6B" w:rsidP="00934579">
            <w:pPr>
              <w:pStyle w:val="Nzev"/>
              <w:jc w:val="center"/>
              <w:rPr>
                <w:rFonts w:eastAsia="Times New Roman"/>
                <w:lang w:eastAsia="cs-CZ"/>
              </w:rPr>
            </w:pPr>
            <w:r w:rsidRPr="00933A42">
              <w:rPr>
                <w:rFonts w:eastAsia="Times New Roman"/>
                <w:lang w:eastAsia="cs-CZ"/>
              </w:rPr>
              <w:t>36,8%</w:t>
            </w:r>
          </w:p>
        </w:tc>
      </w:tr>
    </w:tbl>
    <w:p w:rsidR="00F846F6" w:rsidRPr="00933A42" w:rsidRDefault="00CA118D" w:rsidP="00F846F6">
      <w:pPr>
        <w:pStyle w:val="Nadpis3"/>
      </w:pPr>
      <w:bookmarkStart w:id="22" w:name="_Toc465592569"/>
      <w:r w:rsidRPr="00933A42">
        <w:t>potřeby a plán</w:t>
      </w:r>
      <w:r w:rsidR="00F846F6" w:rsidRPr="00933A42">
        <w:t>Y</w:t>
      </w:r>
      <w:bookmarkEnd w:id="22"/>
    </w:p>
    <w:p w:rsidR="008B408A" w:rsidRPr="00586FB6" w:rsidRDefault="00933A42" w:rsidP="00933A42">
      <w:pPr>
        <w:pStyle w:val="Bezmezer"/>
      </w:pPr>
      <w:r w:rsidRPr="00933A42">
        <w:t xml:space="preserve">V této kapitole </w:t>
      </w:r>
      <w:r w:rsidR="007774B5">
        <w:t>jsou</w:t>
      </w:r>
      <w:r w:rsidRPr="00933A42">
        <w:t xml:space="preserve"> </w:t>
      </w:r>
      <w:r w:rsidR="00057A01">
        <w:t xml:space="preserve">pomocí tabulek </w:t>
      </w:r>
      <w:r w:rsidRPr="00933A42">
        <w:t xml:space="preserve">shrnuta nejfrekventovanější témata potřeb a </w:t>
      </w:r>
      <w:r w:rsidRPr="00586FB6">
        <w:t xml:space="preserve">plánů </w:t>
      </w:r>
      <w:r w:rsidR="004820C7" w:rsidRPr="00586FB6">
        <w:t>vyskytující se v dotaznících a to z</w:t>
      </w:r>
      <w:r w:rsidR="007774B5">
        <w:t> každé oblasti.</w:t>
      </w:r>
      <w:r w:rsidRPr="00586FB6">
        <w:t xml:space="preserve"> </w:t>
      </w:r>
      <w:r w:rsidR="007774B5">
        <w:t>J</w:t>
      </w:r>
      <w:r w:rsidRPr="00586FB6">
        <w:t>ak na úrovni MŠ, tak na úrovni ZŠ.</w:t>
      </w:r>
    </w:p>
    <w:p w:rsidR="00F846F6" w:rsidRPr="00586FB6" w:rsidRDefault="00F846F6" w:rsidP="00F846F6">
      <w:pPr>
        <w:pStyle w:val="Nadpis4"/>
      </w:pPr>
      <w:bookmarkStart w:id="23" w:name="_Toc465592570"/>
      <w:r w:rsidRPr="00586FB6">
        <w:t>Mateřské školy</w:t>
      </w:r>
      <w:bookmarkEnd w:id="23"/>
    </w:p>
    <w:p w:rsidR="00FC1ABE" w:rsidRDefault="00FC1ABE" w:rsidP="00FC1ABE">
      <w:pPr>
        <w:pStyle w:val="Bezmezer"/>
      </w:pPr>
      <w:r w:rsidRPr="00D50F80">
        <w:t>V</w:t>
      </w:r>
      <w:r w:rsidR="008F5AE4">
        <w:t xml:space="preserve"> rámci mateřských škol byly analyticky zpracovány dotazníky vyplněné osmnácti </w:t>
      </w:r>
      <w:r w:rsidR="00430FAF">
        <w:t>zřizovateli</w:t>
      </w:r>
      <w:r w:rsidR="008F5AE4">
        <w:t xml:space="preserve"> mateřských škol z celkových čtyřiadvaceti v S</w:t>
      </w:r>
      <w:r w:rsidR="00430FAF">
        <w:t>O</w:t>
      </w:r>
      <w:r w:rsidR="008F5AE4">
        <w:t xml:space="preserve"> ORP Kutná Hora. </w:t>
      </w:r>
      <w:r w:rsidR="00430FAF">
        <w:t>Dotazníky se týkaly celkem</w:t>
      </w:r>
      <w:r w:rsidR="008F5AE4">
        <w:t xml:space="preserve"> osm</w:t>
      </w:r>
      <w:r w:rsidR="00430FAF">
        <w:t>i</w:t>
      </w:r>
      <w:r w:rsidR="008F5AE4">
        <w:t xml:space="preserve"> oblastí</w:t>
      </w:r>
      <w:r w:rsidR="00430FAF">
        <w:t>.</w:t>
      </w:r>
      <w:r w:rsidR="00227E8F">
        <w:t xml:space="preserve"> Kromě daných oblastí a jednotlivých potřeb je ponechán i procentuelně vyjádřený podíl škol, které zmíněnou potřebu </w:t>
      </w:r>
      <w:r w:rsidR="008B5F30">
        <w:t xml:space="preserve">v období 2016 – 2018 </w:t>
      </w:r>
      <w:r w:rsidR="00227E8F">
        <w:t>preferují.</w:t>
      </w:r>
    </w:p>
    <w:p w:rsidR="008C4EF8" w:rsidRPr="00FA681B" w:rsidRDefault="008C4EF8" w:rsidP="008C4EF8">
      <w:pPr>
        <w:pStyle w:val="Nadpis5"/>
      </w:pPr>
      <w:r w:rsidRPr="00FA681B">
        <w:t xml:space="preserve">Tabulka: </w:t>
      </w:r>
      <w:r>
        <w:t xml:space="preserve">Potřeby a plány mateřských škol </w:t>
      </w:r>
    </w:p>
    <w:tbl>
      <w:tblPr>
        <w:tblW w:w="9089" w:type="dxa"/>
        <w:tblInd w:w="53" w:type="dxa"/>
        <w:tblCellMar>
          <w:left w:w="70" w:type="dxa"/>
          <w:right w:w="70" w:type="dxa"/>
        </w:tblCellMar>
        <w:tblLook w:val="04A0"/>
      </w:tblPr>
      <w:tblGrid>
        <w:gridCol w:w="9089"/>
      </w:tblGrid>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sidRPr="00EE751B">
              <w:rPr>
                <w:rFonts w:eastAsia="Times New Roman"/>
                <w:b/>
                <w:lang w:eastAsia="cs-CZ"/>
              </w:rPr>
              <w:t>I. PODPORA INKLUZIVNÍHO / SPOLEČNÉHO VZDĚLÁVÁNÍ</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klade důraz nejen na budování vlastního úspěchu žáka, ale i na odbourávání bariér mezi lidmi, vede k sounáležitosti se spolužáky a dalšími lidmi apod.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dokáže přijmout ke vzdělávání všechny děti bez rozdílu (včetně dětí s odlišným kulturním prostředím, sociálním znevýhodněním, cizince, děti se SVP apod.) (66,7 %)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umožňuje pedagogům navázat vztahy s  místními a regionálními školami různých úrovní (společné diskuze, sdílení dobré praxe, akce pro jiné školy nebo s jinými školami apod.) (66,7 %)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Pedagogové školy jsou schopni vhodně přizpůsobit obsah vzdělávání, upravit formy a metody vzdělávání a nastavit různé úrovně obtížnosti v souladu se specifiky a potřebami dětí tak, aby bylo dosaženo a využito maximálních možností vzdělávaného dítěte (66,7 %)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Pedagogové využívají v komunikaci s dítětem popisnou slovní zpětnou vazbu, vytvářejí prostor k sebehodnocení dítěte a k rozvoji jeho motivace ke vzdělávání (66,7 %)</w:t>
            </w:r>
          </w:p>
        </w:tc>
      </w:tr>
      <w:tr w:rsidR="00EE751B" w:rsidRPr="00EE751B" w:rsidTr="008B5F30">
        <w:trPr>
          <w:trHeight w:val="227"/>
        </w:trPr>
        <w:tc>
          <w:tcPr>
            <w:tcW w:w="9089" w:type="dxa"/>
            <w:tcBorders>
              <w:top w:val="dotted" w:sz="4" w:space="0" w:color="auto"/>
              <w:left w:val="nil"/>
              <w:bottom w:val="single"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Učitelé vnímají tvořivým způsobem rozdíly mezi žáky jako zdroj zkušeností a příležitost k vlastnímu seberozvoji (66,7 %)</w:t>
            </w:r>
          </w:p>
        </w:tc>
      </w:tr>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sidRPr="00EE751B">
              <w:rPr>
                <w:rFonts w:eastAsia="Times New Roman"/>
                <w:b/>
                <w:lang w:eastAsia="cs-CZ"/>
              </w:rPr>
              <w:t>II. ROZVOJ ČTENÁŘSKÉ PREGRAMOTNOSTI</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 xml:space="preserve"> Škola podporuje rozvoj čtenářské pregramotnosti a řečových aktivit v rámci školních vzdělávacích programů (má stanoveny konkrétní </w:t>
            </w:r>
            <w:proofErr w:type="gramStart"/>
            <w:r w:rsidRPr="00EE751B">
              <w:rPr>
                <w:rFonts w:eastAsia="Times New Roman"/>
                <w:lang w:eastAsia="cs-CZ"/>
              </w:rPr>
              <w:t>cíle) (83,3</w:t>
            </w:r>
            <w:proofErr w:type="gramEnd"/>
            <w:r w:rsidRPr="00EE751B">
              <w:rPr>
                <w:rFonts w:eastAsia="Times New Roman"/>
                <w:lang w:eastAsia="cs-CZ"/>
              </w:rPr>
              <w:t xml:space="preserve">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Učitelé MŠ rozvíjejí své znalosti v oblasti čtenářské pregramotnosti a využívají je ve výchově (kurzy dalšího vzdělávání, studium literatury aj.)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Ve škole jsou realizovány akce pro děti na podporu čtenářské pregramotnosti a zvýšení motivace ke čtenářství (např. výstavy dětských knih, knižních ilustrací, malování děje pohádkových příběhů, hry na postavy z kin apod.) (77,8 %)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disponuje dostatečným technickým a materiálním zabezpečením v oblasti čtenářské pregramotnosti (77,8 %)</w:t>
            </w:r>
          </w:p>
        </w:tc>
      </w:tr>
      <w:tr w:rsidR="00EE751B" w:rsidRPr="00EE751B" w:rsidTr="008B5F30">
        <w:trPr>
          <w:trHeight w:val="227"/>
        </w:trPr>
        <w:tc>
          <w:tcPr>
            <w:tcW w:w="9089" w:type="dxa"/>
            <w:tcBorders>
              <w:top w:val="dotted" w:sz="4" w:space="0" w:color="auto"/>
              <w:left w:val="nil"/>
              <w:bottom w:val="single"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lastRenderedPageBreak/>
              <w:t>Škola pravidelně nakupuje aktuální beletrii a další literaturu, multimédia pro rozvoj čtenářské pregramotnosti (77,8 %)</w:t>
            </w:r>
          </w:p>
        </w:tc>
      </w:tr>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sidRPr="00EE751B">
              <w:rPr>
                <w:rFonts w:eastAsia="Times New Roman"/>
                <w:b/>
                <w:lang w:eastAsia="cs-CZ"/>
              </w:rPr>
              <w:t>I</w:t>
            </w:r>
            <w:r>
              <w:rPr>
                <w:rFonts w:eastAsia="Times New Roman"/>
                <w:b/>
                <w:lang w:eastAsia="cs-CZ"/>
              </w:rPr>
              <w:t>I</w:t>
            </w:r>
            <w:r w:rsidRPr="00EE751B">
              <w:rPr>
                <w:rFonts w:eastAsia="Times New Roman"/>
                <w:b/>
                <w:lang w:eastAsia="cs-CZ"/>
              </w:rPr>
              <w:t>I. ROZVOJ MATEMATICKÉ PREGRAMOTNOSTI</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Učitelé MŠ rozvíjejí své znalosti v oblasti matematické pregramotnosti a využívají je ve výchově (kurzy dalšího vzdělávání, studium literatury aj.) (88,9 %)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 xml:space="preserve">Škola podporuje rozvoj matematické pregramotnosti v rámci školních vzdělávacích programů (má stanoveny konkrétní </w:t>
            </w:r>
            <w:proofErr w:type="gramStart"/>
            <w:r w:rsidRPr="00EE751B">
              <w:rPr>
                <w:rFonts w:eastAsia="Times New Roman"/>
                <w:lang w:eastAsia="cs-CZ"/>
              </w:rPr>
              <w:t>cíle) (83,3</w:t>
            </w:r>
            <w:proofErr w:type="gramEnd"/>
            <w:r w:rsidRPr="00EE751B">
              <w:rPr>
                <w:rFonts w:eastAsia="Times New Roman"/>
                <w:lang w:eastAsia="cs-CZ"/>
              </w:rPr>
              <w:t xml:space="preserve"> %)</w:t>
            </w:r>
          </w:p>
        </w:tc>
      </w:tr>
      <w:tr w:rsidR="00EE751B" w:rsidRPr="00EE751B" w:rsidTr="008B5F30">
        <w:trPr>
          <w:trHeight w:val="227"/>
        </w:trPr>
        <w:tc>
          <w:tcPr>
            <w:tcW w:w="9089" w:type="dxa"/>
            <w:tcBorders>
              <w:top w:val="dotted" w:sz="4" w:space="0" w:color="auto"/>
              <w:left w:val="nil"/>
              <w:bottom w:val="single"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disponuje dostatečným technickým a materiálním zabezpečením pro rozvoj matematické pregramotnosti (83,3 %)</w:t>
            </w:r>
          </w:p>
        </w:tc>
      </w:tr>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Pr>
                <w:rFonts w:eastAsia="Times New Roman"/>
                <w:b/>
                <w:lang w:eastAsia="cs-CZ"/>
              </w:rPr>
              <w:t>IV</w:t>
            </w:r>
            <w:r w:rsidRPr="00EE751B">
              <w:rPr>
                <w:rFonts w:eastAsia="Times New Roman"/>
                <w:b/>
                <w:lang w:eastAsia="cs-CZ"/>
              </w:rPr>
              <w:t>. PODPORA KOMPETENCÍ K INICIATIVĚ A KREATIVITĚ</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nabízí pestré možnosti seberealizace dětí, umožňuje dětem realizovat vlastní nápady (např. dramatizace textu atp.) (88,9 %)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Učitelé rozvíjejí své znalosti v oblasti podpory kreativity a využívají je ve výchově (kurzy dalšího vzdělávání, studium literatury aj.)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systematicky učí prvkům iniciativy a kreativity, prostředí i přístup pedagogů podporuje fantazii a iniciativu dětí (83,3 %)</w:t>
            </w:r>
          </w:p>
        </w:tc>
      </w:tr>
      <w:tr w:rsidR="00EE751B" w:rsidRPr="00EE751B" w:rsidTr="008B5F30">
        <w:trPr>
          <w:trHeight w:val="227"/>
        </w:trPr>
        <w:tc>
          <w:tcPr>
            <w:tcW w:w="9089" w:type="dxa"/>
            <w:tcBorders>
              <w:top w:val="dotted" w:sz="4" w:space="0" w:color="auto"/>
              <w:left w:val="nil"/>
              <w:bottom w:val="single"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informuje a spolupracuje v oblasti podpory kompetencí k iniciativě a kreativitě s rodiči (např. ukázky práce s dětmi pro rodiče, dny otevřených dveří apod.) (83,3 %)</w:t>
            </w:r>
          </w:p>
        </w:tc>
      </w:tr>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sidRPr="00EE751B">
              <w:rPr>
                <w:rFonts w:eastAsia="Times New Roman"/>
                <w:b/>
                <w:lang w:eastAsia="cs-CZ"/>
              </w:rPr>
              <w:t>V. PODPORA POLYTECHNICKÉHO VZDĚLÁVÁNÍ</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podporuje samostatnou práci dětí v oblasti polytechnického vzdělávání (94,4 %)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Technické, přírodovědné a environmentální vzdělávání je na naší škole realizováno v souladu s RVP PV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Učitelé MŠ rozvíjejí své znalosti v oblasti polytechnického vzdělávání a využívají je ve výchově (kurzy dalšího vzdělávání, studium literatury aj.)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Učitelé MŠ využívají poznatky v praxi a sdílejí dobrou praxi v oblasti rozvoje polytechnického vzdělávání mezi sebou i s učiteli z jiných škol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disponuje vzdělávacími materiály pro vzdělávání polytechnického charakteru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informuje a spolupracuje v oblasti polytechnického vzdělávání s rodiči (např. výstavky prací, představení systému školy v oblasti polytechnického vzdělávání, kroužků, aktivit apod.) (83,3 %)</w:t>
            </w:r>
          </w:p>
        </w:tc>
      </w:tr>
      <w:tr w:rsidR="00EE751B" w:rsidRPr="00EE751B" w:rsidTr="008B5F30">
        <w:trPr>
          <w:trHeight w:val="227"/>
        </w:trPr>
        <w:tc>
          <w:tcPr>
            <w:tcW w:w="9089" w:type="dxa"/>
            <w:tcBorders>
              <w:top w:val="dotted" w:sz="4" w:space="0" w:color="auto"/>
              <w:left w:val="nil"/>
              <w:bottom w:val="single"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disponuje dostatečným technickým a materiálním zabezpečením pro rozvíjení prostorového a logického myšlení a manuálních dovedností (83,3 %)</w:t>
            </w:r>
          </w:p>
        </w:tc>
      </w:tr>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sidRPr="00EE751B">
              <w:rPr>
                <w:rFonts w:eastAsia="Times New Roman"/>
                <w:b/>
                <w:lang w:eastAsia="cs-CZ"/>
              </w:rPr>
              <w:t>V</w:t>
            </w:r>
            <w:r>
              <w:rPr>
                <w:rFonts w:eastAsia="Times New Roman"/>
                <w:b/>
                <w:lang w:eastAsia="cs-CZ"/>
              </w:rPr>
              <w:t>I</w:t>
            </w:r>
            <w:r w:rsidRPr="00EE751B">
              <w:rPr>
                <w:rFonts w:eastAsia="Times New Roman"/>
                <w:b/>
                <w:lang w:eastAsia="cs-CZ"/>
              </w:rPr>
              <w:t>. PODPORA SOCIÁLNÍCH A OBČANSKÝCH DOVEDNOSTÍ A DALŠÍCH KLÍČOVÝCH KOMPETENCÍ</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Uvnitř školy se pěstuje vzájemná spolupráce učitele, rodičů a dětí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u dětí rozvíjí schopnosti sebereflexe a sebehodnocení (83,3 %)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 xml:space="preserve">Ve škole je pěstováno kulturní povědomí a kulturní komunikace (tj. rozvoj tvůrčího vyjadřování myšlenek, zážitků a emocí různými formami využitím hudby, divadelního umění, literatury a vizuálního </w:t>
            </w:r>
            <w:proofErr w:type="gramStart"/>
            <w:r w:rsidRPr="00EE751B">
              <w:rPr>
                <w:rFonts w:eastAsia="Times New Roman"/>
                <w:lang w:eastAsia="cs-CZ"/>
              </w:rPr>
              <w:t>umění) (77,8</w:t>
            </w:r>
            <w:proofErr w:type="gramEnd"/>
            <w:r w:rsidRPr="00EE751B">
              <w:rPr>
                <w:rFonts w:eastAsia="Times New Roman"/>
                <w:lang w:eastAsia="cs-CZ"/>
              </w:rPr>
              <w:t xml:space="preserve"> %)</w:t>
            </w:r>
          </w:p>
        </w:tc>
      </w:tr>
      <w:tr w:rsidR="00EE751B" w:rsidRPr="00EE751B" w:rsidTr="008B5F30">
        <w:trPr>
          <w:trHeight w:val="227"/>
        </w:trPr>
        <w:tc>
          <w:tcPr>
            <w:tcW w:w="9089" w:type="dxa"/>
            <w:tcBorders>
              <w:top w:val="dotted" w:sz="4" w:space="0" w:color="auto"/>
              <w:left w:val="nil"/>
              <w:bottom w:val="single"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Škola rozvíjí schopnost dětí učit se (77,8 %)</w:t>
            </w:r>
          </w:p>
        </w:tc>
      </w:tr>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sidRPr="00EE751B">
              <w:rPr>
                <w:rFonts w:eastAsia="Times New Roman"/>
                <w:b/>
                <w:lang w:eastAsia="cs-CZ"/>
              </w:rPr>
              <w:t>VI</w:t>
            </w:r>
            <w:r>
              <w:rPr>
                <w:rFonts w:eastAsia="Times New Roman"/>
                <w:b/>
                <w:lang w:eastAsia="cs-CZ"/>
              </w:rPr>
              <w:t>I</w:t>
            </w:r>
            <w:r w:rsidRPr="00EE751B">
              <w:rPr>
                <w:rFonts w:eastAsia="Times New Roman"/>
                <w:b/>
                <w:lang w:eastAsia="cs-CZ"/>
              </w:rPr>
              <w:t>. PODPORA DIGITÁLNÍCH KOMPETENCÍ PEDAGOGICKÝCH PRACOVNÍKŮ</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 xml:space="preserve">Nedostatek financí na pořízení moderního ICT vybavení (včetně údržby stávající </w:t>
            </w:r>
            <w:proofErr w:type="gramStart"/>
            <w:r w:rsidRPr="00EE751B">
              <w:rPr>
                <w:rFonts w:eastAsia="Times New Roman"/>
                <w:lang w:eastAsia="cs-CZ"/>
              </w:rPr>
              <w:t>techniky) (61,1</w:t>
            </w:r>
            <w:proofErr w:type="gramEnd"/>
            <w:r w:rsidRPr="00EE751B">
              <w:rPr>
                <w:rFonts w:eastAsia="Times New Roman"/>
                <w:lang w:eastAsia="cs-CZ"/>
              </w:rPr>
              <w:t xml:space="preserve">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Nevhodné / zastaralé ICT vybavení (55,6 %)</w:t>
            </w:r>
          </w:p>
        </w:tc>
      </w:tr>
      <w:tr w:rsidR="00EE751B" w:rsidRPr="00EE751B" w:rsidTr="008B5F30">
        <w:trPr>
          <w:trHeight w:val="227"/>
        </w:trPr>
        <w:tc>
          <w:tcPr>
            <w:tcW w:w="9089" w:type="dxa"/>
            <w:tcBorders>
              <w:top w:val="dotted" w:sz="4" w:space="0" w:color="auto"/>
              <w:left w:val="nil"/>
              <w:bottom w:val="single"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Nedostatek příležitostí k dalšímu vzdělávání pedagogických pracovníků v oblasti digitálních kompetencí (50 %)</w:t>
            </w:r>
          </w:p>
        </w:tc>
      </w:tr>
      <w:tr w:rsidR="00EE751B" w:rsidRPr="00EE751B" w:rsidTr="008B5F30">
        <w:trPr>
          <w:trHeight w:val="227"/>
        </w:trPr>
        <w:tc>
          <w:tcPr>
            <w:tcW w:w="9089" w:type="dxa"/>
            <w:tcBorders>
              <w:top w:val="nil"/>
              <w:left w:val="nil"/>
              <w:bottom w:val="single" w:sz="4" w:space="0" w:color="auto"/>
              <w:right w:val="nil"/>
            </w:tcBorders>
            <w:shd w:val="clear" w:color="000000" w:fill="FFFFFF"/>
            <w:vAlign w:val="bottom"/>
            <w:hideMark/>
          </w:tcPr>
          <w:p w:rsidR="00EE751B" w:rsidRPr="00EE751B" w:rsidRDefault="00EE751B" w:rsidP="00EE751B">
            <w:pPr>
              <w:pStyle w:val="Nzev"/>
              <w:rPr>
                <w:rFonts w:eastAsia="Times New Roman"/>
                <w:b/>
                <w:lang w:eastAsia="cs-CZ"/>
              </w:rPr>
            </w:pPr>
            <w:r w:rsidRPr="00EE751B">
              <w:rPr>
                <w:rFonts w:eastAsia="Times New Roman"/>
                <w:b/>
                <w:lang w:eastAsia="cs-CZ"/>
              </w:rPr>
              <w:t>VI</w:t>
            </w:r>
            <w:r>
              <w:rPr>
                <w:rFonts w:eastAsia="Times New Roman"/>
                <w:b/>
                <w:lang w:eastAsia="cs-CZ"/>
              </w:rPr>
              <w:t>I</w:t>
            </w:r>
            <w:r w:rsidRPr="00EE751B">
              <w:rPr>
                <w:rFonts w:eastAsia="Times New Roman"/>
                <w:b/>
                <w:lang w:eastAsia="cs-CZ"/>
              </w:rPr>
              <w:t>I. ROZVOJ INFRASTRUKTURY MATEŘSKÝCH ŠKOL</w:t>
            </w:r>
          </w:p>
        </w:tc>
      </w:tr>
      <w:tr w:rsidR="00EE751B" w:rsidRPr="00EE751B" w:rsidTr="008B5F30">
        <w:trPr>
          <w:trHeight w:val="227"/>
        </w:trPr>
        <w:tc>
          <w:tcPr>
            <w:tcW w:w="9089" w:type="dxa"/>
            <w:tcBorders>
              <w:top w:val="single" w:sz="4" w:space="0" w:color="auto"/>
              <w:left w:val="nil"/>
              <w:bottom w:val="dotted" w:sz="4" w:space="0" w:color="auto"/>
              <w:right w:val="nil"/>
            </w:tcBorders>
            <w:shd w:val="clear" w:color="auto" w:fill="auto"/>
            <w:vAlign w:val="bottom"/>
            <w:hideMark/>
          </w:tcPr>
          <w:p w:rsidR="00EE751B" w:rsidRPr="00DB07B5" w:rsidRDefault="00EE751B" w:rsidP="00EE751B">
            <w:pPr>
              <w:pStyle w:val="Nzev"/>
              <w:rPr>
                <w:rFonts w:eastAsia="Times New Roman"/>
                <w:b/>
                <w:lang w:eastAsia="cs-CZ"/>
              </w:rPr>
            </w:pPr>
            <w:r w:rsidRPr="00DB07B5">
              <w:rPr>
                <w:rFonts w:eastAsia="Times New Roman"/>
                <w:b/>
                <w:lang w:eastAsia="cs-CZ"/>
              </w:rPr>
              <w:t>Stavby, rekonstrukce</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Stavební úpravy a vybavení na podporu podnětného venkovního prostředí školy např. hřiště, zahrady apod. (27,8 %)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Ostatní rekonstrukce, udržovací práce a modernizace pláště budovy; zateplení budov; (projekty energeticky udržitelné školy apod.) (22,2 %)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Stavební úpravy a rekonstrukce tříd (22,2 %)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DB07B5" w:rsidRDefault="00EE751B" w:rsidP="00EE751B">
            <w:pPr>
              <w:pStyle w:val="Nzev"/>
              <w:rPr>
                <w:rFonts w:eastAsia="Times New Roman"/>
                <w:b/>
                <w:lang w:eastAsia="cs-CZ"/>
              </w:rPr>
            </w:pPr>
            <w:r w:rsidRPr="00DB07B5">
              <w:rPr>
                <w:rFonts w:eastAsia="Times New Roman"/>
                <w:b/>
                <w:lang w:eastAsia="cs-CZ"/>
              </w:rPr>
              <w:t>Vybavení</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Interaktivní tabule (38,9 %)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Nové didaktické pomůcky (38,9 %)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 xml:space="preserve">Vybavení na podporu podnětného vnitřního prostředí školy např. čtenářské koutky, prostor na rozvoj jednotlivých </w:t>
            </w:r>
            <w:proofErr w:type="spellStart"/>
            <w:r w:rsidRPr="00EE751B">
              <w:rPr>
                <w:rFonts w:eastAsia="Times New Roman"/>
                <w:lang w:eastAsia="cs-CZ"/>
              </w:rPr>
              <w:t>pregramotností</w:t>
            </w:r>
            <w:proofErr w:type="spellEnd"/>
            <w:r w:rsidRPr="00EE751B">
              <w:rPr>
                <w:rFonts w:eastAsia="Times New Roman"/>
                <w:lang w:eastAsia="cs-CZ"/>
              </w:rPr>
              <w:t>, polytechnických dovedností apod. (33,3 %)</w:t>
            </w:r>
          </w:p>
        </w:tc>
      </w:tr>
      <w:tr w:rsidR="00EE751B" w:rsidRPr="00EE751B" w:rsidTr="008B5F30">
        <w:trPr>
          <w:trHeight w:val="227"/>
        </w:trPr>
        <w:tc>
          <w:tcPr>
            <w:tcW w:w="9089" w:type="dxa"/>
            <w:tcBorders>
              <w:top w:val="dotted" w:sz="4" w:space="0" w:color="auto"/>
              <w:left w:val="nil"/>
              <w:bottom w:val="dotted" w:sz="4" w:space="0" w:color="auto"/>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Vybavení výpočetní technikou pro potřeby pedagogických pracovníků (33,3 %)</w:t>
            </w:r>
          </w:p>
        </w:tc>
      </w:tr>
      <w:tr w:rsidR="00EE751B" w:rsidRPr="00EE751B" w:rsidTr="008B5F30">
        <w:trPr>
          <w:trHeight w:val="227"/>
        </w:trPr>
        <w:tc>
          <w:tcPr>
            <w:tcW w:w="9089" w:type="dxa"/>
            <w:tcBorders>
              <w:top w:val="dotted" w:sz="4" w:space="0" w:color="auto"/>
              <w:left w:val="nil"/>
              <w:bottom w:val="nil"/>
              <w:right w:val="nil"/>
            </w:tcBorders>
            <w:shd w:val="clear" w:color="auto" w:fill="auto"/>
            <w:vAlign w:val="bottom"/>
            <w:hideMark/>
          </w:tcPr>
          <w:p w:rsidR="00EE751B" w:rsidRPr="00EE751B" w:rsidRDefault="00EE751B" w:rsidP="00EE751B">
            <w:pPr>
              <w:pStyle w:val="Nzev"/>
              <w:rPr>
                <w:rFonts w:eastAsia="Times New Roman"/>
                <w:lang w:eastAsia="cs-CZ"/>
              </w:rPr>
            </w:pPr>
            <w:r w:rsidRPr="00EE751B">
              <w:rPr>
                <w:rFonts w:eastAsia="Times New Roman"/>
                <w:lang w:eastAsia="cs-CZ"/>
              </w:rPr>
              <w:t>Didaktické a kompenzační pomůcky pro děti se SVP (27,8 %)</w:t>
            </w:r>
          </w:p>
        </w:tc>
      </w:tr>
    </w:tbl>
    <w:p w:rsidR="00F846F6" w:rsidRPr="00586FB6" w:rsidRDefault="00F846F6" w:rsidP="00F846F6">
      <w:pPr>
        <w:pStyle w:val="Nadpis4"/>
      </w:pPr>
      <w:bookmarkStart w:id="24" w:name="_Toc465592571"/>
      <w:r w:rsidRPr="00586FB6">
        <w:lastRenderedPageBreak/>
        <w:t>Základní školy</w:t>
      </w:r>
      <w:bookmarkEnd w:id="24"/>
    </w:p>
    <w:p w:rsidR="008C4EF8" w:rsidRPr="00227E8F" w:rsidRDefault="008B5F30" w:rsidP="008C4EF8">
      <w:pPr>
        <w:pStyle w:val="Bezmezer"/>
      </w:pPr>
      <w:r w:rsidRPr="00D50F80">
        <w:t>V</w:t>
      </w:r>
      <w:r>
        <w:t xml:space="preserve"> rámci základních škol byly analyticky zpracovány dotazníky vyplněné </w:t>
      </w:r>
      <w:r w:rsidR="00EA30DB">
        <w:t>devatenácti</w:t>
      </w:r>
      <w:r>
        <w:t xml:space="preserve"> zřizovateli </w:t>
      </w:r>
      <w:r w:rsidR="00EA30DB">
        <w:t>základních</w:t>
      </w:r>
      <w:r>
        <w:t xml:space="preserve"> škol z celkových </w:t>
      </w:r>
      <w:r w:rsidR="00EA30DB">
        <w:t>devatenácti</w:t>
      </w:r>
      <w:r>
        <w:t xml:space="preserve"> v SO ORP Kutná Hora. Dotazníky se týkaly celkem </w:t>
      </w:r>
      <w:r w:rsidR="00EA30DB">
        <w:t>devíti</w:t>
      </w:r>
      <w:r>
        <w:t xml:space="preserve"> oblastí. Kromě daných oblastí a jednotlivých potřeb je ponechán i procentuelně vyjádřený podíl škol, které zmíněnou potřebu v období 2016 – 2018 preferují.</w:t>
      </w:r>
    </w:p>
    <w:p w:rsidR="008C4EF8" w:rsidRPr="00FA681B" w:rsidRDefault="008C4EF8" w:rsidP="008C4EF8">
      <w:pPr>
        <w:pStyle w:val="Nadpis5"/>
      </w:pPr>
      <w:r w:rsidRPr="00CA525B">
        <w:t xml:space="preserve">Tabulka: Potřeby a plány </w:t>
      </w:r>
      <w:r w:rsidR="00CA525B" w:rsidRPr="00CA525B">
        <w:t>základních</w:t>
      </w:r>
      <w:r w:rsidRPr="00CA525B">
        <w:t xml:space="preserve"> škol</w:t>
      </w:r>
      <w:r>
        <w:t xml:space="preserve"> </w:t>
      </w:r>
    </w:p>
    <w:tbl>
      <w:tblPr>
        <w:tblW w:w="9089" w:type="dxa"/>
        <w:tblInd w:w="53" w:type="dxa"/>
        <w:tblCellMar>
          <w:left w:w="70" w:type="dxa"/>
          <w:right w:w="70" w:type="dxa"/>
        </w:tblCellMar>
        <w:tblLook w:val="04A0"/>
      </w:tblPr>
      <w:tblGrid>
        <w:gridCol w:w="9089"/>
      </w:tblGrid>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FC4A56" w:rsidP="00BD24D8">
            <w:pPr>
              <w:pStyle w:val="Nzev"/>
              <w:rPr>
                <w:rFonts w:eastAsia="Times New Roman"/>
                <w:b/>
                <w:lang w:eastAsia="cs-CZ"/>
              </w:rPr>
            </w:pPr>
            <w:r w:rsidRPr="00EE751B">
              <w:rPr>
                <w:rFonts w:eastAsia="Times New Roman"/>
                <w:b/>
                <w:lang w:eastAsia="cs-CZ"/>
              </w:rPr>
              <w:t>I. PODPORA INKLUZIVNÍHO / SPOLEČNÉHO VZDĚLÁVÁNÍ</w:t>
            </w:r>
          </w:p>
        </w:tc>
      </w:tr>
      <w:tr w:rsidR="00FC4A56"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E604D9">
              <w:rPr>
                <w:rFonts w:eastAsia="Times New Roman"/>
                <w:lang w:eastAsia="cs-CZ"/>
              </w:rPr>
              <w:t>Škola klade důraz nejen na budování vlastního úspěchu žáka, ale i na odbo</w:t>
            </w:r>
            <w:r>
              <w:rPr>
                <w:rFonts w:eastAsia="Times New Roman"/>
                <w:lang w:eastAsia="cs-CZ"/>
              </w:rPr>
              <w:t xml:space="preserve">urávání bariér mezi lidmi, vede </w:t>
            </w:r>
            <w:r w:rsidRPr="00E604D9">
              <w:rPr>
                <w:rFonts w:eastAsia="Times New Roman"/>
                <w:lang w:eastAsia="cs-CZ"/>
              </w:rPr>
              <w:t>k sounáležitosti se spolužáky a dalšími lidmi apod.</w:t>
            </w:r>
            <w:r>
              <w:rPr>
                <w:rFonts w:eastAsia="Times New Roman"/>
                <w:lang w:eastAsia="cs-CZ"/>
              </w:rPr>
              <w:t xml:space="preserve"> (84,2 %)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E604D9">
              <w:rPr>
                <w:rFonts w:eastAsia="Times New Roman"/>
                <w:lang w:eastAsia="cs-CZ"/>
              </w:rPr>
              <w:t>Učitelé vnímají tvořivým způsobem rozdíly mezi žáky jako zdroj zkušeností a příležitost k vlastnímu seberozvoji</w:t>
            </w:r>
            <w:r>
              <w:rPr>
                <w:rFonts w:eastAsia="Times New Roman"/>
                <w:lang w:eastAsia="cs-CZ"/>
              </w:rPr>
              <w:t xml:space="preserve"> (78,9 %)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E604D9">
              <w:rPr>
                <w:rFonts w:eastAsia="Times New Roman"/>
                <w:lang w:eastAsia="cs-CZ"/>
              </w:rPr>
              <w:t>Škola učí všechny žáky uvědomovat si práva a povinnosti (vina, trest, spravedlnost, Úmluva o právech dítěte apod.)</w:t>
            </w:r>
            <w:r>
              <w:rPr>
                <w:rFonts w:eastAsia="Times New Roman"/>
                <w:lang w:eastAsia="cs-CZ"/>
              </w:rPr>
              <w:t xml:space="preserve"> (78,9 %)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E604D9">
              <w:rPr>
                <w:rFonts w:eastAsia="Times New Roman"/>
                <w:lang w:eastAsia="cs-CZ"/>
              </w:rPr>
              <w:t>Vyučující realizují pedagogickou diagnostiku žáků, vyhodnocují její výsledky a v souladu s nimi volí formy a metody výuky, resp. kroky další péče o žáky</w:t>
            </w:r>
            <w:r>
              <w:rPr>
                <w:rFonts w:eastAsia="Times New Roman"/>
                <w:lang w:eastAsia="cs-CZ"/>
              </w:rPr>
              <w:t xml:space="preserve"> (78,9 %)</w:t>
            </w:r>
          </w:p>
        </w:tc>
      </w:tr>
      <w:tr w:rsidR="00FC4A56" w:rsidRPr="00EE751B" w:rsidTr="00CE18E1">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E604D9">
              <w:rPr>
                <w:rFonts w:eastAsia="Times New Roman"/>
                <w:lang w:eastAsia="cs-CZ"/>
              </w:rPr>
              <w:t>Pedagogové umí využívat speciální učebnice, pomůcky i kompenzační pomůcky</w:t>
            </w:r>
            <w:r>
              <w:rPr>
                <w:rFonts w:eastAsia="Times New Roman"/>
                <w:lang w:eastAsia="cs-CZ"/>
              </w:rPr>
              <w:t xml:space="preserve"> (78,9 %)</w:t>
            </w:r>
          </w:p>
        </w:tc>
      </w:tr>
      <w:tr w:rsidR="00FC4A56" w:rsidRPr="00EE751B" w:rsidTr="00CE18E1">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E604D9">
              <w:rPr>
                <w:rFonts w:eastAsia="Times New Roman"/>
                <w:lang w:eastAsia="cs-CZ"/>
              </w:rPr>
              <w:t>Škola upravuje organizaci a průběh vyučování v souladu s potřebami žáků se speciálními vzdělávacími potřebami (např. poskytuje skupinovou výuku pro nadané žáky, skupiny mohou být tvořeny žáky z různých ročníků, doučování apod.)</w:t>
            </w:r>
            <w:r>
              <w:rPr>
                <w:rFonts w:eastAsia="Times New Roman"/>
                <w:lang w:eastAsia="cs-CZ"/>
              </w:rPr>
              <w:t xml:space="preserve"> (78,9 %)</w:t>
            </w:r>
          </w:p>
        </w:tc>
      </w:tr>
      <w:tr w:rsidR="00CE18E1"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CE18E1" w:rsidRPr="00E604D9" w:rsidRDefault="00CE18E1" w:rsidP="00BD24D8">
            <w:pPr>
              <w:pStyle w:val="Nzev"/>
              <w:rPr>
                <w:rFonts w:eastAsia="Times New Roman"/>
                <w:lang w:eastAsia="cs-CZ"/>
              </w:rPr>
            </w:pPr>
            <w:r w:rsidRPr="00E604D9">
              <w:rPr>
                <w:rFonts w:eastAsia="Times New Roman"/>
                <w:lang w:eastAsia="cs-CZ"/>
              </w:rPr>
              <w:t>Škola umí komunikovat s žáky, rodiči i pedagogy, vnímá jejich potřeby a systematicky rozvíjí školní kulturu, bezpečné a otevřené klima školy</w:t>
            </w:r>
            <w:r>
              <w:rPr>
                <w:rFonts w:eastAsia="Times New Roman"/>
                <w:lang w:eastAsia="cs-CZ"/>
              </w:rPr>
              <w:t xml:space="preserve"> (78,9 %)</w:t>
            </w:r>
          </w:p>
        </w:tc>
      </w:tr>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CE18E1" w:rsidP="00BD24D8">
            <w:pPr>
              <w:pStyle w:val="Nzev"/>
              <w:rPr>
                <w:rFonts w:eastAsia="Times New Roman"/>
                <w:b/>
                <w:lang w:eastAsia="cs-CZ"/>
              </w:rPr>
            </w:pPr>
            <w:r>
              <w:rPr>
                <w:rFonts w:eastAsia="Times New Roman"/>
                <w:b/>
                <w:lang w:eastAsia="cs-CZ"/>
              </w:rPr>
              <w:t xml:space="preserve">II. ROZVOJ ČTENÁŘSKÉ </w:t>
            </w:r>
            <w:r w:rsidR="00FC4A56" w:rsidRPr="00EE751B">
              <w:rPr>
                <w:rFonts w:eastAsia="Times New Roman"/>
                <w:b/>
                <w:lang w:eastAsia="cs-CZ"/>
              </w:rPr>
              <w:t>GRAMOTNOSTI</w:t>
            </w:r>
          </w:p>
        </w:tc>
      </w:tr>
      <w:tr w:rsidR="00FC4A56"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6C5331">
              <w:t xml:space="preserve">Učitelé 1. i 2. stupně rozvíjejí své znalosti v oblasti čtenářské gramotnosti a využívají je ve výuce (kurzy dalšího vzdělávání, </w:t>
            </w:r>
            <w:r w:rsidRPr="00271A77">
              <w:t>studium literatury aj.)</w:t>
            </w:r>
            <w:r w:rsidRPr="00271A77">
              <w:rPr>
                <w:rFonts w:eastAsia="Times New Roman"/>
                <w:lang w:eastAsia="cs-CZ"/>
              </w:rPr>
              <w:t xml:space="preserve"> (89,5 %)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271A77">
              <w:t>Ve škole existuje čtenářsky podnětné prostředí (čtenářské koutky, nástěnky, prostor s informacemi z oblasti čtenářské gramotnosti apod.)</w:t>
            </w:r>
            <w:r w:rsidRPr="00271A77">
              <w:rPr>
                <w:rFonts w:eastAsia="Times New Roman"/>
                <w:lang w:eastAsia="cs-CZ"/>
              </w:rPr>
              <w:t xml:space="preserve"> (89,5 %)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271A77">
              <w:t>Škola podporuje rozvoj čtenářské gramotnosti v </w:t>
            </w:r>
            <w:r w:rsidRPr="00D9094C">
              <w:t>rámci školních vzdělávacích programů (má stanoven</w:t>
            </w:r>
            <w:r w:rsidR="004B1A8F">
              <w:t xml:space="preserve">y konkrétní </w:t>
            </w:r>
            <w:proofErr w:type="gramStart"/>
            <w:r w:rsidR="004B1A8F">
              <w:t>cíle)</w:t>
            </w:r>
            <w:r w:rsidRPr="00D9094C">
              <w:rPr>
                <w:rFonts w:eastAsia="Times New Roman"/>
                <w:lang w:eastAsia="cs-CZ"/>
              </w:rPr>
              <w:t xml:space="preserve"> (84,2</w:t>
            </w:r>
            <w:proofErr w:type="gramEnd"/>
            <w:r w:rsidRPr="00D9094C">
              <w:rPr>
                <w:rFonts w:eastAsia="Times New Roman"/>
                <w:lang w:eastAsia="cs-CZ"/>
              </w:rPr>
              <w:t xml:space="preserve">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D9094C">
              <w:t xml:space="preserve">Učitelé 1. i 2. stupně využívají poznatků v praxi a sdílejí dobrou </w:t>
            </w:r>
            <w:r w:rsidRPr="00177384">
              <w:t xml:space="preserve">praxi v oblasti rozvoje čtenářské gramotnosti mezi </w:t>
            </w:r>
            <w:r w:rsidR="004B1A8F">
              <w:t>sebou i s učiteli z jiných škol</w:t>
            </w:r>
            <w:r w:rsidRPr="00177384">
              <w:rPr>
                <w:rFonts w:eastAsia="Times New Roman"/>
                <w:lang w:eastAsia="cs-CZ"/>
              </w:rPr>
              <w:t xml:space="preserve"> (84,2 %)</w:t>
            </w:r>
          </w:p>
        </w:tc>
      </w:tr>
      <w:tr w:rsidR="00CE18E1"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CE18E1" w:rsidRPr="00D9094C" w:rsidRDefault="00CE18E1" w:rsidP="00BD24D8">
            <w:pPr>
              <w:pStyle w:val="Nzev"/>
            </w:pPr>
            <w:r w:rsidRPr="00177384">
              <w:t>Škola podporuje základní znalosti a dovednosti, základní práce s textem (od prostého porozumění textu k vyhledávání titul</w:t>
            </w:r>
            <w:r w:rsidR="004B1A8F">
              <w:t xml:space="preserve">ů v knihovně podle potřeb </w:t>
            </w:r>
            <w:proofErr w:type="gramStart"/>
            <w:r w:rsidR="004B1A8F">
              <w:t>žáků)</w:t>
            </w:r>
            <w:r w:rsidRPr="00177384">
              <w:rPr>
                <w:rFonts w:eastAsia="Times New Roman"/>
                <w:lang w:eastAsia="cs-CZ"/>
              </w:rPr>
              <w:t xml:space="preserve"> (84,2</w:t>
            </w:r>
            <w:proofErr w:type="gramEnd"/>
            <w:r w:rsidRPr="00177384">
              <w:rPr>
                <w:rFonts w:eastAsia="Times New Roman"/>
                <w:lang w:eastAsia="cs-CZ"/>
              </w:rPr>
              <w:t xml:space="preserve"> %)</w:t>
            </w:r>
          </w:p>
        </w:tc>
      </w:tr>
      <w:tr w:rsidR="00CE18E1"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CE18E1" w:rsidRPr="00D9094C" w:rsidRDefault="00CE18E1" w:rsidP="00BD24D8">
            <w:pPr>
              <w:pStyle w:val="Nzev"/>
            </w:pPr>
            <w:r w:rsidRPr="00177384">
              <w:t>Škola podporuje individuální práci s žáky s mimořádným zájmem o literaturu, tvůrčí psaní atp.</w:t>
            </w:r>
            <w:r w:rsidRPr="00177384">
              <w:rPr>
                <w:rFonts w:eastAsia="Times New Roman"/>
                <w:lang w:eastAsia="cs-CZ"/>
              </w:rPr>
              <w:t xml:space="preserve"> (84,2 %)</w:t>
            </w:r>
          </w:p>
        </w:tc>
      </w:tr>
      <w:tr w:rsidR="00FC4A56"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FC4A56" w:rsidRPr="00EE751B" w:rsidRDefault="00CE18E1" w:rsidP="00BD24D8">
            <w:pPr>
              <w:pStyle w:val="Nzev"/>
              <w:rPr>
                <w:rFonts w:eastAsia="Times New Roman"/>
                <w:lang w:eastAsia="cs-CZ"/>
              </w:rPr>
            </w:pPr>
            <w:r w:rsidRPr="00177384">
              <w:t xml:space="preserve">Škola disponuje dostatečným technickým a materiálním zabezpečením v oblasti čtenářské gramotnosti např. pro </w:t>
            </w:r>
            <w:r>
              <w:t xml:space="preserve">vystavování prací žáků (včetně </w:t>
            </w:r>
            <w:r w:rsidR="00ED5ED0">
              <w:t xml:space="preserve">audiovizuální </w:t>
            </w:r>
            <w:proofErr w:type="gramStart"/>
            <w:r w:rsidR="00ED5ED0">
              <w:t>techniky)</w:t>
            </w:r>
            <w:r w:rsidRPr="00177384">
              <w:t xml:space="preserve"> </w:t>
            </w:r>
            <w:r w:rsidRPr="00177384">
              <w:rPr>
                <w:rFonts w:eastAsia="Times New Roman"/>
                <w:lang w:eastAsia="cs-CZ"/>
              </w:rPr>
              <w:t>(84,2</w:t>
            </w:r>
            <w:proofErr w:type="gramEnd"/>
            <w:r w:rsidRPr="00177384">
              <w:rPr>
                <w:rFonts w:eastAsia="Times New Roman"/>
                <w:lang w:eastAsia="cs-CZ"/>
              </w:rPr>
              <w:t xml:space="preserve"> %)</w:t>
            </w:r>
          </w:p>
        </w:tc>
      </w:tr>
      <w:tr w:rsidR="008477EE"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8477EE" w:rsidRPr="00EE751B" w:rsidRDefault="008477EE" w:rsidP="00BD24D8">
            <w:pPr>
              <w:pStyle w:val="Nzev"/>
              <w:rPr>
                <w:rFonts w:eastAsia="Times New Roman"/>
                <w:b/>
                <w:lang w:eastAsia="cs-CZ"/>
              </w:rPr>
            </w:pPr>
            <w:r w:rsidRPr="00EE751B">
              <w:rPr>
                <w:rFonts w:eastAsia="Times New Roman"/>
                <w:b/>
                <w:lang w:eastAsia="cs-CZ"/>
              </w:rPr>
              <w:t>I</w:t>
            </w:r>
            <w:r>
              <w:rPr>
                <w:rFonts w:eastAsia="Times New Roman"/>
                <w:b/>
                <w:lang w:eastAsia="cs-CZ"/>
              </w:rPr>
              <w:t xml:space="preserve">II. ROZVOJ MATEMATICKÉ </w:t>
            </w:r>
            <w:r w:rsidRPr="00EE751B">
              <w:rPr>
                <w:rFonts w:eastAsia="Times New Roman"/>
                <w:b/>
                <w:lang w:eastAsia="cs-CZ"/>
              </w:rPr>
              <w:t>GRAMOTNOSTI</w:t>
            </w:r>
          </w:p>
        </w:tc>
      </w:tr>
      <w:tr w:rsidR="008477EE"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8477EE" w:rsidRPr="00EE751B" w:rsidRDefault="008477EE" w:rsidP="00BD24D8">
            <w:pPr>
              <w:pStyle w:val="Nzev"/>
              <w:rPr>
                <w:rFonts w:eastAsia="Times New Roman"/>
                <w:lang w:eastAsia="cs-CZ"/>
              </w:rPr>
            </w:pPr>
            <w:r w:rsidRPr="006652B3">
              <w:rPr>
                <w:rFonts w:eastAsia="Times New Roman"/>
                <w:lang w:eastAsia="cs-CZ"/>
              </w:rPr>
              <w:t>Učitelé 1. i 2. stupně využívají poznatky v praxi a sdílejí dobrou praxi v oblasti matematické gramotnosti mezi sebou i s učiteli z </w:t>
            </w:r>
            <w:r w:rsidRPr="0073065D">
              <w:rPr>
                <w:rFonts w:eastAsia="Times New Roman"/>
                <w:lang w:eastAsia="cs-CZ"/>
              </w:rPr>
              <w:t>jiných škol. (94,7 %)</w:t>
            </w:r>
          </w:p>
        </w:tc>
      </w:tr>
      <w:tr w:rsidR="008477EE"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8477EE" w:rsidRPr="00EE751B" w:rsidRDefault="008477EE" w:rsidP="00BD24D8">
            <w:pPr>
              <w:pStyle w:val="Nzev"/>
              <w:rPr>
                <w:rFonts w:eastAsia="Times New Roman"/>
                <w:lang w:eastAsia="cs-CZ"/>
              </w:rPr>
            </w:pPr>
            <w:r w:rsidRPr="0073065D">
              <w:rPr>
                <w:rFonts w:eastAsia="Times New Roman"/>
                <w:lang w:eastAsia="cs-CZ"/>
              </w:rPr>
              <w:t xml:space="preserve">Škola podporuje rozvoj matematické gramotnosti v rámci </w:t>
            </w:r>
            <w:r w:rsidRPr="00057861">
              <w:rPr>
                <w:rFonts w:eastAsia="Times New Roman"/>
                <w:lang w:eastAsia="cs-CZ"/>
              </w:rPr>
              <w:t>školních vzdělávacích programů (má stanoveny konkrétní cíle)</w:t>
            </w:r>
            <w:r w:rsidRPr="00057861">
              <w:t>.</w:t>
            </w:r>
            <w:r w:rsidRPr="00057861">
              <w:rPr>
                <w:rFonts w:eastAsia="Times New Roman"/>
                <w:lang w:eastAsia="cs-CZ"/>
              </w:rPr>
              <w:t xml:space="preserve"> (89,5 %)</w:t>
            </w:r>
          </w:p>
        </w:tc>
      </w:tr>
      <w:tr w:rsidR="008477EE"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8477EE" w:rsidRPr="00EE751B" w:rsidRDefault="008477EE" w:rsidP="00BD24D8">
            <w:pPr>
              <w:pStyle w:val="Nzev"/>
              <w:rPr>
                <w:rFonts w:eastAsia="Times New Roman"/>
                <w:lang w:eastAsia="cs-CZ"/>
              </w:rPr>
            </w:pPr>
            <w:r w:rsidRPr="00057861">
              <w:rPr>
                <w:rFonts w:eastAsia="Times New Roman"/>
                <w:lang w:eastAsia="cs-CZ"/>
              </w:rPr>
              <w:t>Učitelé 1. i 2. stupně rozvíjejí své znalosti v oblasti matematické gramotnosti a využívají je ve výuce (kurzy dalšího vzd</w:t>
            </w:r>
            <w:r w:rsidRPr="009F5355">
              <w:rPr>
                <w:rFonts w:eastAsia="Times New Roman"/>
                <w:lang w:eastAsia="cs-CZ"/>
              </w:rPr>
              <w:t>ělávání, studium literatury aj.)</w:t>
            </w:r>
            <w:r w:rsidRPr="009F5355">
              <w:t>.</w:t>
            </w:r>
            <w:r w:rsidRPr="009F5355">
              <w:rPr>
                <w:rFonts w:eastAsia="Times New Roman"/>
                <w:lang w:eastAsia="cs-CZ"/>
              </w:rPr>
              <w:t xml:space="preserve"> (84,2 %)</w:t>
            </w:r>
          </w:p>
        </w:tc>
      </w:tr>
      <w:tr w:rsidR="008477EE"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8477EE" w:rsidRPr="00EE751B" w:rsidRDefault="008477EE" w:rsidP="00BD24D8">
            <w:pPr>
              <w:pStyle w:val="Nzev"/>
              <w:rPr>
                <w:rFonts w:eastAsia="Times New Roman"/>
                <w:lang w:eastAsia="cs-CZ"/>
              </w:rPr>
            </w:pPr>
            <w:r w:rsidRPr="009F5355">
              <w:rPr>
                <w:rFonts w:eastAsia="Times New Roman"/>
                <w:lang w:eastAsia="cs-CZ"/>
              </w:rPr>
              <w:t>Ve škole je podporováno matematické myšlení u žáků (příklady k řešení a pochopení každodenních situací, situací spojených s budoucí profesí nebo k objasnění přírodních zákonů, atp.)</w:t>
            </w:r>
            <w:r w:rsidRPr="009F5355">
              <w:t>.</w:t>
            </w:r>
            <w:r w:rsidRPr="009F5355">
              <w:rPr>
                <w:rFonts w:eastAsia="Times New Roman"/>
                <w:lang w:eastAsia="cs-CZ"/>
              </w:rPr>
              <w:t xml:space="preserve"> (84,2 %)</w:t>
            </w:r>
          </w:p>
        </w:tc>
      </w:tr>
      <w:tr w:rsidR="008477EE"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8477EE" w:rsidRPr="00EE751B" w:rsidRDefault="008477EE" w:rsidP="00BD24D8">
            <w:pPr>
              <w:pStyle w:val="Nzev"/>
              <w:rPr>
                <w:rFonts w:eastAsia="Times New Roman"/>
                <w:lang w:eastAsia="cs-CZ"/>
              </w:rPr>
            </w:pPr>
            <w:r w:rsidRPr="00DA1856">
              <w:rPr>
                <w:rFonts w:eastAsia="Times New Roman"/>
                <w:lang w:eastAsia="cs-CZ"/>
              </w:rPr>
              <w:t>Ve škole jsou využívána interaktivní média, informační a komunikační technologie v oblasti rozvoje matemat</w:t>
            </w:r>
            <w:r w:rsidRPr="00FD2428">
              <w:rPr>
                <w:rFonts w:eastAsia="Times New Roman"/>
                <w:lang w:eastAsia="cs-CZ"/>
              </w:rPr>
              <w:t>ické gramotnosti</w:t>
            </w:r>
            <w:r w:rsidRPr="00FD2428">
              <w:t>.</w:t>
            </w:r>
            <w:r w:rsidRPr="00FD2428">
              <w:rPr>
                <w:rFonts w:eastAsia="Times New Roman"/>
                <w:lang w:eastAsia="cs-CZ"/>
              </w:rPr>
              <w:t xml:space="preserve"> (84,2 %)</w:t>
            </w:r>
          </w:p>
        </w:tc>
      </w:tr>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FC4A56" w:rsidP="008477EE">
            <w:pPr>
              <w:pStyle w:val="Nzev"/>
              <w:rPr>
                <w:rFonts w:eastAsia="Times New Roman"/>
                <w:b/>
                <w:lang w:eastAsia="cs-CZ"/>
              </w:rPr>
            </w:pPr>
            <w:r w:rsidRPr="00EE751B">
              <w:rPr>
                <w:rFonts w:eastAsia="Times New Roman"/>
                <w:b/>
                <w:lang w:eastAsia="cs-CZ"/>
              </w:rPr>
              <w:t>I</w:t>
            </w:r>
            <w:r w:rsidR="00EA30DB">
              <w:rPr>
                <w:rFonts w:eastAsia="Times New Roman"/>
                <w:b/>
                <w:lang w:eastAsia="cs-CZ"/>
              </w:rPr>
              <w:t>V</w:t>
            </w:r>
            <w:r w:rsidR="004B1A8F">
              <w:rPr>
                <w:rFonts w:eastAsia="Times New Roman"/>
                <w:b/>
                <w:lang w:eastAsia="cs-CZ"/>
              </w:rPr>
              <w:t xml:space="preserve">. ROZVOJ </w:t>
            </w:r>
            <w:r w:rsidR="008477EE">
              <w:rPr>
                <w:rFonts w:eastAsia="Times New Roman"/>
                <w:b/>
                <w:lang w:eastAsia="cs-CZ"/>
              </w:rPr>
              <w:t>JAZYKOVÉ</w:t>
            </w:r>
            <w:r w:rsidR="004B1A8F">
              <w:rPr>
                <w:rFonts w:eastAsia="Times New Roman"/>
                <w:b/>
                <w:lang w:eastAsia="cs-CZ"/>
              </w:rPr>
              <w:t xml:space="preserve"> </w:t>
            </w:r>
            <w:r w:rsidRPr="00EE751B">
              <w:rPr>
                <w:rFonts w:eastAsia="Times New Roman"/>
                <w:b/>
                <w:lang w:eastAsia="cs-CZ"/>
              </w:rPr>
              <w:t>GRAMOTNOSTI</w:t>
            </w:r>
          </w:p>
        </w:tc>
      </w:tr>
      <w:tr w:rsidR="00FC4A56"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FC4A56" w:rsidRPr="00EE751B" w:rsidRDefault="003E721F" w:rsidP="00BD24D8">
            <w:pPr>
              <w:pStyle w:val="Nzev"/>
              <w:rPr>
                <w:rFonts w:eastAsia="Times New Roman"/>
                <w:lang w:eastAsia="cs-CZ"/>
              </w:rPr>
            </w:pPr>
            <w:r w:rsidRPr="00AA126C">
              <w:t xml:space="preserve">Ve škole existují pravidelné jazykové kroužky /doučování/ mimoškolní </w:t>
            </w:r>
            <w:r w:rsidRPr="00F36152">
              <w:t>aktivity</w:t>
            </w:r>
            <w:r w:rsidRPr="00F36152">
              <w:rPr>
                <w:rFonts w:eastAsia="Times New Roman"/>
                <w:lang w:eastAsia="cs-CZ"/>
              </w:rPr>
              <w:t>. (84,2 %)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3E721F" w:rsidP="00BD24D8">
            <w:pPr>
              <w:pStyle w:val="Nzev"/>
              <w:rPr>
                <w:rFonts w:eastAsia="Times New Roman"/>
                <w:lang w:eastAsia="cs-CZ"/>
              </w:rPr>
            </w:pPr>
            <w:r w:rsidRPr="00F36152">
              <w:t xml:space="preserve">Ve škole existuje jazykově podnětné prostředí (koutky, </w:t>
            </w:r>
            <w:r w:rsidRPr="00970424">
              <w:t>nástěnky apod.).</w:t>
            </w:r>
            <w:r w:rsidRPr="00970424">
              <w:rPr>
                <w:rFonts w:eastAsia="Times New Roman"/>
                <w:lang w:eastAsia="cs-CZ"/>
              </w:rPr>
              <w:t xml:space="preserve"> (84,2 %)</w:t>
            </w:r>
          </w:p>
        </w:tc>
      </w:tr>
      <w:tr w:rsidR="00876453"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876453" w:rsidRPr="00EE751B" w:rsidRDefault="003E721F" w:rsidP="00BD24D8">
            <w:pPr>
              <w:pStyle w:val="Nzev"/>
              <w:rPr>
                <w:rFonts w:eastAsia="Times New Roman"/>
                <w:lang w:eastAsia="cs-CZ"/>
              </w:rPr>
            </w:pPr>
            <w:r w:rsidRPr="00970424">
              <w:t>Učitelé 1. i 2. stupně, učitelé jazyků i ostatních předmětů rozvíjejí své znalosti v oblasti jazykových znalostí a využívají je ve výuce (kurzy dalšího vzdělávání, studium literatury aj.).</w:t>
            </w:r>
            <w:r w:rsidRPr="00970424">
              <w:rPr>
                <w:rFonts w:eastAsia="Times New Roman"/>
                <w:lang w:eastAsia="cs-CZ"/>
              </w:rPr>
              <w:t xml:space="preserve"> (78,9 %)</w:t>
            </w:r>
          </w:p>
        </w:tc>
      </w:tr>
      <w:tr w:rsidR="00876453"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876453" w:rsidRPr="00EE751B" w:rsidRDefault="003E721F" w:rsidP="00BD24D8">
            <w:pPr>
              <w:pStyle w:val="Nzev"/>
              <w:rPr>
                <w:rFonts w:eastAsia="Times New Roman"/>
                <w:lang w:eastAsia="cs-CZ"/>
              </w:rPr>
            </w:pPr>
            <w:r w:rsidRPr="00970424">
              <w:t>Učitelé 1. i 2. stupně využívají poznatky v praxi a sdílejí dobrou praxi v oblasti jazykové gramotnosti mezi sebou i s učiteli z jiných škol</w:t>
            </w:r>
            <w:r w:rsidRPr="00970424">
              <w:rPr>
                <w:rFonts w:eastAsia="Times New Roman"/>
                <w:lang w:eastAsia="cs-CZ"/>
              </w:rPr>
              <w:t xml:space="preserve"> (78,9 %)</w:t>
            </w:r>
          </w:p>
        </w:tc>
      </w:tr>
      <w:tr w:rsidR="003E721F"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3E721F" w:rsidRPr="00EE751B" w:rsidRDefault="003E721F" w:rsidP="00BD24D8">
            <w:pPr>
              <w:pStyle w:val="Nzev"/>
              <w:rPr>
                <w:rFonts w:eastAsia="Times New Roman"/>
                <w:lang w:eastAsia="cs-CZ"/>
              </w:rPr>
            </w:pPr>
            <w:r w:rsidRPr="00970424">
              <w:t>Škola disponuje dostatečným technickým a materiálním zabezpečením pro výuku cizích jazyků.</w:t>
            </w:r>
            <w:r w:rsidRPr="00970424">
              <w:rPr>
                <w:rFonts w:eastAsia="Times New Roman"/>
                <w:lang w:eastAsia="cs-CZ"/>
              </w:rPr>
              <w:t xml:space="preserve"> (78,9 %)</w:t>
            </w:r>
          </w:p>
        </w:tc>
      </w:tr>
      <w:tr w:rsidR="003E721F"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3E721F" w:rsidRPr="00EE751B" w:rsidRDefault="003E721F" w:rsidP="00BD24D8">
            <w:pPr>
              <w:pStyle w:val="Nzev"/>
              <w:rPr>
                <w:rFonts w:eastAsia="Times New Roman"/>
                <w:lang w:eastAsia="cs-CZ"/>
              </w:rPr>
            </w:pPr>
            <w:r w:rsidRPr="00970424">
              <w:t xml:space="preserve">Ve škole jsou využívána interaktivní média, </w:t>
            </w:r>
            <w:proofErr w:type="spellStart"/>
            <w:r w:rsidRPr="00970424">
              <w:t>inf</w:t>
            </w:r>
            <w:proofErr w:type="spellEnd"/>
            <w:r w:rsidRPr="00970424">
              <w:t xml:space="preserve">. a kom. </w:t>
            </w:r>
            <w:proofErr w:type="gramStart"/>
            <w:r w:rsidRPr="00970424">
              <w:t>technologie</w:t>
            </w:r>
            <w:proofErr w:type="gramEnd"/>
            <w:r w:rsidRPr="00970424">
              <w:t xml:space="preserve"> v oblasti rozvoje jazykové gramotnosti</w:t>
            </w:r>
            <w:r w:rsidRPr="00970424">
              <w:rPr>
                <w:rFonts w:eastAsia="Times New Roman"/>
                <w:lang w:eastAsia="cs-CZ"/>
              </w:rPr>
              <w:t xml:space="preserve"> (78,9 %)</w:t>
            </w:r>
          </w:p>
        </w:tc>
      </w:tr>
      <w:tr w:rsidR="00FC4A56"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FC4A56" w:rsidRPr="00EE751B" w:rsidRDefault="003E721F" w:rsidP="00BD24D8">
            <w:pPr>
              <w:pStyle w:val="Nzev"/>
              <w:rPr>
                <w:rFonts w:eastAsia="Times New Roman"/>
                <w:lang w:eastAsia="cs-CZ"/>
              </w:rPr>
            </w:pPr>
            <w:r w:rsidRPr="00970424">
              <w:lastRenderedPageBreak/>
              <w:t>Škola pravidelně nakupuje aktuální učebnice, cizojazyčnou literaturu, multimédia pro rozvoj jazykové gramotnosti.</w:t>
            </w:r>
            <w:r w:rsidRPr="00970424">
              <w:rPr>
                <w:rFonts w:eastAsia="Times New Roman"/>
                <w:lang w:eastAsia="cs-CZ"/>
              </w:rPr>
              <w:t xml:space="preserve"> (78,9 %)</w:t>
            </w:r>
          </w:p>
        </w:tc>
      </w:tr>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FC4A56" w:rsidP="00BD24D8">
            <w:pPr>
              <w:pStyle w:val="Nzev"/>
              <w:rPr>
                <w:rFonts w:eastAsia="Times New Roman"/>
                <w:b/>
                <w:lang w:eastAsia="cs-CZ"/>
              </w:rPr>
            </w:pPr>
            <w:r>
              <w:rPr>
                <w:rFonts w:eastAsia="Times New Roman"/>
                <w:b/>
                <w:lang w:eastAsia="cs-CZ"/>
              </w:rPr>
              <w:t>V</w:t>
            </w:r>
            <w:r w:rsidRPr="00EE751B">
              <w:rPr>
                <w:rFonts w:eastAsia="Times New Roman"/>
                <w:b/>
                <w:lang w:eastAsia="cs-CZ"/>
              </w:rPr>
              <w:t>. PODPORA KOMPETENCÍ K</w:t>
            </w:r>
            <w:r w:rsidR="0089031A">
              <w:rPr>
                <w:rFonts w:eastAsia="Times New Roman"/>
                <w:b/>
                <w:lang w:eastAsia="cs-CZ"/>
              </w:rPr>
              <w:t xml:space="preserve"> PODNIKAVOSTI, </w:t>
            </w:r>
            <w:r w:rsidRPr="00EE751B">
              <w:rPr>
                <w:rFonts w:eastAsia="Times New Roman"/>
                <w:b/>
                <w:lang w:eastAsia="cs-CZ"/>
              </w:rPr>
              <w:t>INICIATIVĚ A KREATIVITĚ</w:t>
            </w:r>
          </w:p>
        </w:tc>
      </w:tr>
      <w:tr w:rsidR="00FC4A56"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FC4A56" w:rsidRPr="00EE751B" w:rsidRDefault="00B10F96" w:rsidP="00BD24D8">
            <w:pPr>
              <w:pStyle w:val="Nzev"/>
              <w:rPr>
                <w:rFonts w:eastAsia="Times New Roman"/>
                <w:lang w:eastAsia="cs-CZ"/>
              </w:rPr>
            </w:pPr>
            <w:r w:rsidRPr="009A15C7">
              <w:t>Škola systematicky učí prvkům iniciativy a kreativity, prostředí i přístup pedagogů podporuje fantazii a iniciativu dětí</w:t>
            </w:r>
            <w:r w:rsidRPr="009A15C7">
              <w:rPr>
                <w:rFonts w:eastAsia="Times New Roman"/>
                <w:lang w:eastAsia="cs-CZ"/>
              </w:rPr>
              <w:t>. (84,2 %)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B10F96" w:rsidP="00BD24D8">
            <w:pPr>
              <w:pStyle w:val="Nzev"/>
              <w:rPr>
                <w:rFonts w:eastAsia="Times New Roman"/>
                <w:lang w:eastAsia="cs-CZ"/>
              </w:rPr>
            </w:pPr>
            <w:r w:rsidRPr="009A15C7">
              <w:t>Ve škole existuje prostor pro pravidelné sdílení zkušeností (dílny nápadů apod.).</w:t>
            </w:r>
            <w:r w:rsidRPr="009A15C7">
              <w:rPr>
                <w:rFonts w:eastAsia="Times New Roman"/>
                <w:lang w:eastAsia="cs-CZ"/>
              </w:rPr>
              <w:t xml:space="preserve"> (84,2 %)</w:t>
            </w:r>
          </w:p>
        </w:tc>
      </w:tr>
      <w:tr w:rsidR="00FC4A56"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FC4A56" w:rsidRPr="00EE751B" w:rsidRDefault="00B10F96" w:rsidP="00BD24D8">
            <w:pPr>
              <w:pStyle w:val="Nzev"/>
              <w:rPr>
                <w:rFonts w:eastAsia="Times New Roman"/>
                <w:lang w:eastAsia="cs-CZ"/>
              </w:rPr>
            </w:pPr>
            <w:r w:rsidRPr="009A15C7">
              <w:t>Škola učí žáky myslet kriticky, vnímat problémy ve svém okolí a nacházet inovativní řešení, nést rizika i plánovat a řídit projekty s cílem dosáhnout určitých cílů (např. projektové dny; při výuce jsou zařazeny úlohy s </w:t>
            </w:r>
            <w:proofErr w:type="spellStart"/>
            <w:r w:rsidRPr="009A15C7">
              <w:t>vícevariantním</w:t>
            </w:r>
            <w:proofErr w:type="spellEnd"/>
            <w:r w:rsidRPr="009A15C7">
              <w:t xml:space="preserve"> i neexistujícím řešením atp.).</w:t>
            </w:r>
            <w:r w:rsidRPr="009A15C7">
              <w:rPr>
                <w:rFonts w:eastAsia="Times New Roman"/>
                <w:lang w:eastAsia="cs-CZ"/>
              </w:rPr>
              <w:t xml:space="preserve"> (73,7 %)</w:t>
            </w:r>
          </w:p>
        </w:tc>
      </w:tr>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FC4A56" w:rsidP="00BD24D8">
            <w:pPr>
              <w:pStyle w:val="Nzev"/>
              <w:rPr>
                <w:rFonts w:eastAsia="Times New Roman"/>
                <w:b/>
                <w:lang w:eastAsia="cs-CZ"/>
              </w:rPr>
            </w:pPr>
            <w:r w:rsidRPr="00EE751B">
              <w:rPr>
                <w:rFonts w:eastAsia="Times New Roman"/>
                <w:b/>
                <w:lang w:eastAsia="cs-CZ"/>
              </w:rPr>
              <w:t>V</w:t>
            </w:r>
            <w:r w:rsidR="00E35F81">
              <w:rPr>
                <w:rFonts w:eastAsia="Times New Roman"/>
                <w:b/>
                <w:lang w:eastAsia="cs-CZ"/>
              </w:rPr>
              <w:t>I</w:t>
            </w:r>
            <w:r w:rsidRPr="00EE751B">
              <w:rPr>
                <w:rFonts w:eastAsia="Times New Roman"/>
                <w:b/>
                <w:lang w:eastAsia="cs-CZ"/>
              </w:rPr>
              <w:t>. PODPORA POLYTECHNICKÉHO VZDĚLÁVÁNÍ</w:t>
            </w:r>
          </w:p>
        </w:tc>
      </w:tr>
      <w:tr w:rsidR="00FC4A56"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FC4A56" w:rsidRPr="00EE751B" w:rsidRDefault="00B10F96" w:rsidP="00BD24D8">
            <w:pPr>
              <w:pStyle w:val="Nzev"/>
              <w:rPr>
                <w:rFonts w:eastAsia="Times New Roman"/>
                <w:lang w:eastAsia="cs-CZ"/>
              </w:rPr>
            </w:pPr>
            <w:r w:rsidRPr="00042BC8">
              <w:rPr>
                <w:rFonts w:ascii="Calibri" w:eastAsia="Times New Roman" w:hAnsi="Calibri" w:cs="Times New Roman"/>
                <w:sz w:val="20"/>
                <w:szCs w:val="20"/>
                <w:lang w:eastAsia="cs-CZ"/>
              </w:rPr>
              <w:t>Příslušní učitelé rozvíjejí své znalosti v oblasti polytechnického vzdělávání a využívají je ve výuce (kurzy dalšího vzdělávání, studium literatury aj.)</w:t>
            </w:r>
            <w:r w:rsidRPr="00B77110">
              <w:rPr>
                <w:rFonts w:eastAsia="Times New Roman"/>
                <w:lang w:eastAsia="cs-CZ"/>
              </w:rPr>
              <w:t xml:space="preserve"> (84,2 %)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B10F96" w:rsidP="00BD24D8">
            <w:pPr>
              <w:pStyle w:val="Nzev"/>
              <w:rPr>
                <w:rFonts w:eastAsia="Times New Roman"/>
                <w:lang w:eastAsia="cs-CZ"/>
              </w:rPr>
            </w:pPr>
            <w:r w:rsidRPr="00042BC8">
              <w:rPr>
                <w:rFonts w:ascii="Calibri" w:eastAsia="Times New Roman" w:hAnsi="Calibri" w:cs="Times New Roman"/>
                <w:sz w:val="20"/>
                <w:szCs w:val="20"/>
                <w:lang w:eastAsia="cs-CZ"/>
              </w:rPr>
              <w:t>Škola podporuje z</w:t>
            </w:r>
            <w:r w:rsidRPr="00B77110">
              <w:rPr>
                <w:rFonts w:ascii="Calibri" w:eastAsia="Times New Roman" w:hAnsi="Calibri" w:cs="Times New Roman"/>
                <w:sz w:val="20"/>
                <w:szCs w:val="20"/>
                <w:lang w:eastAsia="cs-CZ"/>
              </w:rPr>
              <w:t xml:space="preserve">ájem žáků o oblast </w:t>
            </w:r>
            <w:proofErr w:type="spellStart"/>
            <w:r w:rsidRPr="00B77110">
              <w:rPr>
                <w:rFonts w:ascii="Calibri" w:eastAsia="Times New Roman" w:hAnsi="Calibri" w:cs="Times New Roman"/>
                <w:sz w:val="20"/>
                <w:szCs w:val="20"/>
                <w:lang w:eastAsia="cs-CZ"/>
              </w:rPr>
              <w:t>polytech</w:t>
            </w:r>
            <w:proofErr w:type="spellEnd"/>
            <w:r w:rsidRPr="00B77110">
              <w:rPr>
                <w:rFonts w:ascii="Calibri" w:eastAsia="Times New Roman" w:hAnsi="Calibri" w:cs="Times New Roman"/>
                <w:caps/>
                <w:sz w:val="20"/>
                <w:szCs w:val="20"/>
                <w:lang w:eastAsia="cs-CZ"/>
              </w:rPr>
              <w:t xml:space="preserve">. </w:t>
            </w:r>
            <w:r w:rsidRPr="00042BC8">
              <w:rPr>
                <w:rFonts w:ascii="Calibri" w:eastAsia="Times New Roman" w:hAnsi="Calibri" w:cs="Times New Roman"/>
                <w:sz w:val="20"/>
                <w:szCs w:val="20"/>
                <w:lang w:eastAsia="cs-CZ"/>
              </w:rPr>
              <w:t>propojením znalostí s každodenním životem a budoucí profesí</w:t>
            </w:r>
            <w:r w:rsidRPr="00B77110">
              <w:rPr>
                <w:rFonts w:eastAsia="Times New Roman"/>
                <w:lang w:eastAsia="cs-CZ"/>
              </w:rPr>
              <w:t xml:space="preserve"> (84,2 %)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B10F96" w:rsidP="00BD24D8">
            <w:pPr>
              <w:pStyle w:val="Nzev"/>
              <w:rPr>
                <w:rFonts w:eastAsia="Times New Roman"/>
                <w:lang w:eastAsia="cs-CZ"/>
              </w:rPr>
            </w:pPr>
            <w:r w:rsidRPr="00042BC8">
              <w:rPr>
                <w:rFonts w:ascii="Calibri" w:eastAsia="Times New Roman" w:hAnsi="Calibri" w:cs="Times New Roman"/>
                <w:sz w:val="20"/>
                <w:szCs w:val="20"/>
                <w:lang w:eastAsia="cs-CZ"/>
              </w:rPr>
              <w:t>Škola spolupracuje s místními firmami/podnikateli</w:t>
            </w:r>
            <w:r w:rsidRPr="00B77110">
              <w:rPr>
                <w:rFonts w:eastAsia="Times New Roman"/>
                <w:lang w:eastAsia="cs-CZ"/>
              </w:rPr>
              <w:t xml:space="preserve"> (84,2 %)</w:t>
            </w:r>
          </w:p>
        </w:tc>
      </w:tr>
      <w:tr w:rsidR="00FC4A56"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FC4A56" w:rsidRPr="00EE751B" w:rsidRDefault="00B10F96" w:rsidP="00BD24D8">
            <w:pPr>
              <w:pStyle w:val="Nzev"/>
              <w:rPr>
                <w:rFonts w:eastAsia="Times New Roman"/>
                <w:lang w:eastAsia="cs-CZ"/>
              </w:rPr>
            </w:pPr>
            <w:r w:rsidRPr="00042BC8">
              <w:rPr>
                <w:rFonts w:ascii="Calibri" w:eastAsia="Times New Roman" w:hAnsi="Calibri" w:cs="Times New Roman"/>
                <w:sz w:val="20"/>
                <w:szCs w:val="20"/>
                <w:lang w:eastAsia="cs-CZ"/>
              </w:rPr>
              <w:t>Učitelé 1. i 2. stupně využívají poznatky v praxi a sdílejí dobrou praxi v oblasti rozvoje polytechnického vzdělávání mezi sebou i s učiteli z jiných škol</w:t>
            </w:r>
            <w:r w:rsidRPr="00717D2A">
              <w:rPr>
                <w:rFonts w:eastAsia="Times New Roman"/>
                <w:lang w:eastAsia="cs-CZ"/>
              </w:rPr>
              <w:t xml:space="preserve"> (78,9 %)</w:t>
            </w:r>
          </w:p>
        </w:tc>
      </w:tr>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FC4A56" w:rsidP="00BD24D8">
            <w:pPr>
              <w:pStyle w:val="Nzev"/>
              <w:rPr>
                <w:rFonts w:eastAsia="Times New Roman"/>
                <w:b/>
                <w:lang w:eastAsia="cs-CZ"/>
              </w:rPr>
            </w:pPr>
            <w:r w:rsidRPr="00EE751B">
              <w:rPr>
                <w:rFonts w:eastAsia="Times New Roman"/>
                <w:b/>
                <w:lang w:eastAsia="cs-CZ"/>
              </w:rPr>
              <w:t>V</w:t>
            </w:r>
            <w:r w:rsidR="00E35F81">
              <w:rPr>
                <w:rFonts w:eastAsia="Times New Roman"/>
                <w:b/>
                <w:lang w:eastAsia="cs-CZ"/>
              </w:rPr>
              <w:t>I</w:t>
            </w:r>
            <w:r>
              <w:rPr>
                <w:rFonts w:eastAsia="Times New Roman"/>
                <w:b/>
                <w:lang w:eastAsia="cs-CZ"/>
              </w:rPr>
              <w:t>I</w:t>
            </w:r>
            <w:r w:rsidRPr="00EE751B">
              <w:rPr>
                <w:rFonts w:eastAsia="Times New Roman"/>
                <w:b/>
                <w:lang w:eastAsia="cs-CZ"/>
              </w:rPr>
              <w:t>. PODPORA SOCIÁLNÍCH A OBČANSKÝCH DOVEDNOSTÍ A DALŠÍCH KLÍČOVÝCH KOMPETENCÍ</w:t>
            </w:r>
          </w:p>
        </w:tc>
      </w:tr>
      <w:tr w:rsidR="00FC4A56"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FC4A56" w:rsidRPr="00EE751B" w:rsidRDefault="000831F3" w:rsidP="00BD24D8">
            <w:pPr>
              <w:pStyle w:val="Nzev"/>
              <w:rPr>
                <w:rFonts w:eastAsia="Times New Roman"/>
                <w:lang w:eastAsia="cs-CZ"/>
              </w:rPr>
            </w:pPr>
            <w:r w:rsidRPr="00534793">
              <w:rPr>
                <w:rFonts w:ascii="Calibri" w:eastAsia="Times New Roman" w:hAnsi="Calibri" w:cs="Times New Roman"/>
                <w:sz w:val="20"/>
                <w:szCs w:val="20"/>
                <w:lang w:eastAsia="cs-CZ"/>
              </w:rPr>
              <w:t>Škola u žáků rozvíjí schopnosti sebereflexe a sebehodnocen</w:t>
            </w:r>
            <w:r w:rsidRPr="006F0E36">
              <w:rPr>
                <w:rFonts w:ascii="Calibri" w:eastAsia="Times New Roman" w:hAnsi="Calibri" w:cs="Times New Roman"/>
                <w:sz w:val="20"/>
                <w:szCs w:val="20"/>
                <w:lang w:eastAsia="cs-CZ"/>
              </w:rPr>
              <w:t>í</w:t>
            </w:r>
            <w:r w:rsidRPr="006F0E36">
              <w:rPr>
                <w:rFonts w:eastAsia="Times New Roman"/>
                <w:lang w:eastAsia="cs-CZ"/>
              </w:rPr>
              <w:t xml:space="preserve"> (78,9 %)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0831F3" w:rsidP="00BD24D8">
            <w:pPr>
              <w:pStyle w:val="Nzev"/>
              <w:rPr>
                <w:rFonts w:eastAsia="Times New Roman"/>
                <w:lang w:eastAsia="cs-CZ"/>
              </w:rPr>
            </w:pPr>
            <w:r w:rsidRPr="00534793">
              <w:rPr>
                <w:rFonts w:ascii="Calibri" w:eastAsia="Times New Roman" w:hAnsi="Calibri" w:cs="Times New Roman"/>
                <w:sz w:val="20"/>
                <w:szCs w:val="20"/>
                <w:lang w:eastAsia="cs-CZ"/>
              </w:rPr>
              <w:t>Škola motivuje žáky k celoživotnímu učení</w:t>
            </w:r>
            <w:r w:rsidRPr="006F0E36">
              <w:rPr>
                <w:rFonts w:eastAsia="Times New Roman"/>
                <w:lang w:eastAsia="cs-CZ"/>
              </w:rPr>
              <w:t xml:space="preserve"> (78,9 %)</w:t>
            </w:r>
          </w:p>
        </w:tc>
      </w:tr>
      <w:tr w:rsidR="00FC4A56"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FC4A56" w:rsidRPr="00EE751B" w:rsidRDefault="000831F3" w:rsidP="00BD24D8">
            <w:pPr>
              <w:pStyle w:val="Nzev"/>
              <w:rPr>
                <w:rFonts w:eastAsia="Times New Roman"/>
                <w:lang w:eastAsia="cs-CZ"/>
              </w:rPr>
            </w:pPr>
            <w:r w:rsidRPr="00534793">
              <w:rPr>
                <w:rFonts w:ascii="Calibri" w:eastAsia="Times New Roman" w:hAnsi="Calibri" w:cs="Times New Roman"/>
                <w:sz w:val="20"/>
                <w:szCs w:val="20"/>
                <w:lang w:eastAsia="cs-CZ"/>
              </w:rPr>
              <w:t>Škola rozvíjí schopnosti žáků učit se, zorganizovat si učení, využívat k tomu různé metody a možnosti podle vlastních potřeb (učit se samostatně, v rámci skupin apod.)</w:t>
            </w:r>
            <w:r w:rsidRPr="006F0E36">
              <w:rPr>
                <w:rFonts w:eastAsia="Times New Roman"/>
                <w:lang w:eastAsia="cs-CZ"/>
              </w:rPr>
              <w:t xml:space="preserve"> (78,9 %)</w:t>
            </w:r>
          </w:p>
        </w:tc>
      </w:tr>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FC4A56" w:rsidP="00BD24D8">
            <w:pPr>
              <w:pStyle w:val="Nzev"/>
              <w:rPr>
                <w:rFonts w:eastAsia="Times New Roman"/>
                <w:b/>
                <w:lang w:eastAsia="cs-CZ"/>
              </w:rPr>
            </w:pPr>
            <w:r w:rsidRPr="00EE751B">
              <w:rPr>
                <w:rFonts w:eastAsia="Times New Roman"/>
                <w:b/>
                <w:lang w:eastAsia="cs-CZ"/>
              </w:rPr>
              <w:t>VI</w:t>
            </w:r>
            <w:r>
              <w:rPr>
                <w:rFonts w:eastAsia="Times New Roman"/>
                <w:b/>
                <w:lang w:eastAsia="cs-CZ"/>
              </w:rPr>
              <w:t>I</w:t>
            </w:r>
            <w:r w:rsidR="00E35F81">
              <w:rPr>
                <w:rFonts w:eastAsia="Times New Roman"/>
                <w:b/>
                <w:lang w:eastAsia="cs-CZ"/>
              </w:rPr>
              <w:t>I</w:t>
            </w:r>
            <w:r w:rsidRPr="00EE751B">
              <w:rPr>
                <w:rFonts w:eastAsia="Times New Roman"/>
                <w:b/>
                <w:lang w:eastAsia="cs-CZ"/>
              </w:rPr>
              <w:t>. PODPORA DIGITÁLNÍCH KOMPETENCÍ PEDAGOGICKÝCH PRACOVNÍKŮ</w:t>
            </w:r>
          </w:p>
        </w:tc>
      </w:tr>
      <w:tr w:rsidR="00FC4A56"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FC4A56" w:rsidRPr="00EE751B" w:rsidRDefault="000D2D33" w:rsidP="00BD24D8">
            <w:pPr>
              <w:pStyle w:val="Nzev"/>
              <w:rPr>
                <w:rFonts w:eastAsia="Times New Roman"/>
                <w:lang w:eastAsia="cs-CZ"/>
              </w:rPr>
            </w:pPr>
            <w:r w:rsidRPr="00933188">
              <w:rPr>
                <w:rFonts w:ascii="Calibri" w:eastAsia="Times New Roman" w:hAnsi="Calibri" w:cs="Times New Roman"/>
                <w:sz w:val="20"/>
                <w:szCs w:val="20"/>
                <w:lang w:eastAsia="cs-CZ"/>
              </w:rPr>
              <w:t>Pedagogové využívají pro výuku volně dostupné, bezpečné, otevřené internetové zdroje</w:t>
            </w:r>
            <w:r w:rsidRPr="00470DBC">
              <w:rPr>
                <w:rFonts w:eastAsia="Times New Roman"/>
                <w:lang w:eastAsia="cs-CZ"/>
              </w:rPr>
              <w:t xml:space="preserve"> (73,7 %)</w:t>
            </w:r>
          </w:p>
        </w:tc>
      </w:tr>
      <w:tr w:rsidR="00FC4A56"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FC4A56" w:rsidRPr="00EE751B" w:rsidRDefault="000D2D33" w:rsidP="00BD24D8">
            <w:pPr>
              <w:pStyle w:val="Nzev"/>
              <w:rPr>
                <w:rFonts w:eastAsia="Times New Roman"/>
                <w:lang w:eastAsia="cs-CZ"/>
              </w:rPr>
            </w:pPr>
            <w:r w:rsidRPr="00933188">
              <w:rPr>
                <w:rFonts w:ascii="Calibri" w:eastAsia="Times New Roman" w:hAnsi="Calibri" w:cs="Times New Roman"/>
                <w:sz w:val="20"/>
                <w:szCs w:val="20"/>
                <w:lang w:eastAsia="cs-CZ"/>
              </w:rPr>
              <w:t>Pedagogové se orientují v rámci svého předmětu ve volně dostupných zdrojích na internetu</w:t>
            </w:r>
            <w:r w:rsidRPr="00470DBC">
              <w:rPr>
                <w:rFonts w:eastAsia="Times New Roman"/>
                <w:lang w:eastAsia="cs-CZ"/>
              </w:rPr>
              <w:t xml:space="preserve"> (73,7 %)</w:t>
            </w:r>
          </w:p>
        </w:tc>
      </w:tr>
      <w:tr w:rsidR="000D2D33"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0D2D33" w:rsidRPr="00EE751B" w:rsidRDefault="000D2D33" w:rsidP="00BD24D8">
            <w:pPr>
              <w:pStyle w:val="Nzev"/>
              <w:rPr>
                <w:rFonts w:eastAsia="Times New Roman"/>
                <w:lang w:eastAsia="cs-CZ"/>
              </w:rPr>
            </w:pPr>
            <w:r w:rsidRPr="00933188">
              <w:rPr>
                <w:rFonts w:ascii="Calibri" w:eastAsia="Times New Roman" w:hAnsi="Calibri" w:cs="Times New Roman"/>
                <w:sz w:val="20"/>
                <w:szCs w:val="20"/>
                <w:lang w:eastAsia="cs-CZ"/>
              </w:rPr>
              <w:t>Pedagogové využívají mobilní ICT vybavení a digitální technologie při výuce v terénu, v projektové výuce apod.</w:t>
            </w:r>
            <w:r w:rsidRPr="00470DBC">
              <w:rPr>
                <w:rFonts w:eastAsia="Times New Roman"/>
                <w:lang w:eastAsia="cs-CZ"/>
              </w:rPr>
              <w:t xml:space="preserve"> (</w:t>
            </w:r>
            <w:r>
              <w:rPr>
                <w:rFonts w:eastAsia="Times New Roman"/>
                <w:lang w:eastAsia="cs-CZ"/>
              </w:rPr>
              <w:t>68</w:t>
            </w:r>
            <w:r w:rsidRPr="00470DBC">
              <w:rPr>
                <w:rFonts w:eastAsia="Times New Roman"/>
                <w:lang w:eastAsia="cs-CZ"/>
              </w:rPr>
              <w:t>,</w:t>
            </w:r>
            <w:r>
              <w:rPr>
                <w:rFonts w:eastAsia="Times New Roman"/>
                <w:lang w:eastAsia="cs-CZ"/>
              </w:rPr>
              <w:t>4</w:t>
            </w:r>
            <w:r w:rsidRPr="00470DBC">
              <w:rPr>
                <w:rFonts w:eastAsia="Times New Roman"/>
                <w:lang w:eastAsia="cs-CZ"/>
              </w:rPr>
              <w:t xml:space="preserve"> %)</w:t>
            </w:r>
          </w:p>
        </w:tc>
      </w:tr>
      <w:tr w:rsidR="00FC4A56" w:rsidRPr="00EE751B" w:rsidTr="00BD24D8">
        <w:trPr>
          <w:trHeight w:val="227"/>
        </w:trPr>
        <w:tc>
          <w:tcPr>
            <w:tcW w:w="9089" w:type="dxa"/>
            <w:tcBorders>
              <w:top w:val="dotted" w:sz="4" w:space="0" w:color="auto"/>
              <w:left w:val="nil"/>
              <w:bottom w:val="single" w:sz="4" w:space="0" w:color="auto"/>
              <w:right w:val="nil"/>
            </w:tcBorders>
            <w:shd w:val="clear" w:color="auto" w:fill="auto"/>
            <w:vAlign w:val="bottom"/>
            <w:hideMark/>
          </w:tcPr>
          <w:p w:rsidR="00FC4A56" w:rsidRPr="00EE751B" w:rsidRDefault="000D2D33" w:rsidP="00BD24D8">
            <w:pPr>
              <w:pStyle w:val="Nzev"/>
              <w:rPr>
                <w:rFonts w:eastAsia="Times New Roman"/>
                <w:lang w:eastAsia="cs-CZ"/>
              </w:rPr>
            </w:pPr>
            <w:r w:rsidRPr="00933188">
              <w:rPr>
                <w:rFonts w:ascii="Calibri" w:eastAsia="Times New Roman" w:hAnsi="Calibri" w:cs="Times New Roman"/>
                <w:sz w:val="20"/>
                <w:szCs w:val="20"/>
                <w:lang w:eastAsia="cs-CZ"/>
              </w:rPr>
              <w:t>Pedagogové umí systematicky rozvíjet povědomí o internetové bezpečnosti a  kritický pohled na internetový obsah k rozvoji znalostí a dovedností žáků</w:t>
            </w:r>
            <w:r w:rsidRPr="00470DBC">
              <w:rPr>
                <w:rFonts w:eastAsia="Times New Roman"/>
                <w:lang w:eastAsia="cs-CZ"/>
              </w:rPr>
              <w:t xml:space="preserve"> (</w:t>
            </w:r>
            <w:r>
              <w:rPr>
                <w:rFonts w:eastAsia="Times New Roman"/>
                <w:lang w:eastAsia="cs-CZ"/>
              </w:rPr>
              <w:t>68</w:t>
            </w:r>
            <w:r w:rsidRPr="00470DBC">
              <w:rPr>
                <w:rFonts w:eastAsia="Times New Roman"/>
                <w:lang w:eastAsia="cs-CZ"/>
              </w:rPr>
              <w:t>,</w:t>
            </w:r>
            <w:r>
              <w:rPr>
                <w:rFonts w:eastAsia="Times New Roman"/>
                <w:lang w:eastAsia="cs-CZ"/>
              </w:rPr>
              <w:t>4</w:t>
            </w:r>
            <w:r w:rsidRPr="00470DBC">
              <w:rPr>
                <w:rFonts w:eastAsia="Times New Roman"/>
                <w:lang w:eastAsia="cs-CZ"/>
              </w:rPr>
              <w:t xml:space="preserve"> %)</w:t>
            </w:r>
          </w:p>
        </w:tc>
      </w:tr>
      <w:tr w:rsidR="00FC4A56" w:rsidRPr="00EE751B" w:rsidTr="00BD24D8">
        <w:trPr>
          <w:trHeight w:val="227"/>
        </w:trPr>
        <w:tc>
          <w:tcPr>
            <w:tcW w:w="9089" w:type="dxa"/>
            <w:tcBorders>
              <w:top w:val="nil"/>
              <w:left w:val="nil"/>
              <w:bottom w:val="single" w:sz="4" w:space="0" w:color="auto"/>
              <w:right w:val="nil"/>
            </w:tcBorders>
            <w:shd w:val="clear" w:color="000000" w:fill="FFFFFF"/>
            <w:vAlign w:val="bottom"/>
            <w:hideMark/>
          </w:tcPr>
          <w:p w:rsidR="00FC4A56" w:rsidRPr="00EE751B" w:rsidRDefault="00FC4A56" w:rsidP="00E35F81">
            <w:pPr>
              <w:pStyle w:val="Nzev"/>
              <w:rPr>
                <w:rFonts w:eastAsia="Times New Roman"/>
                <w:b/>
                <w:lang w:eastAsia="cs-CZ"/>
              </w:rPr>
            </w:pPr>
            <w:r w:rsidRPr="00EE751B">
              <w:rPr>
                <w:rFonts w:eastAsia="Times New Roman"/>
                <w:b/>
                <w:lang w:eastAsia="cs-CZ"/>
              </w:rPr>
              <w:t>I</w:t>
            </w:r>
            <w:r w:rsidR="00E35F81">
              <w:rPr>
                <w:rFonts w:eastAsia="Times New Roman"/>
                <w:b/>
                <w:lang w:eastAsia="cs-CZ"/>
              </w:rPr>
              <w:t>X</w:t>
            </w:r>
            <w:r w:rsidRPr="00EE751B">
              <w:rPr>
                <w:rFonts w:eastAsia="Times New Roman"/>
                <w:b/>
                <w:lang w:eastAsia="cs-CZ"/>
              </w:rPr>
              <w:t xml:space="preserve">. ROZVOJ INFRASTRUKTURY </w:t>
            </w:r>
            <w:r w:rsidR="00E35F81">
              <w:rPr>
                <w:rFonts w:eastAsia="Times New Roman"/>
                <w:b/>
                <w:lang w:eastAsia="cs-CZ"/>
              </w:rPr>
              <w:t>ZÁKLADNÍCH</w:t>
            </w:r>
            <w:r w:rsidRPr="00EE751B">
              <w:rPr>
                <w:rFonts w:eastAsia="Times New Roman"/>
                <w:b/>
                <w:lang w:eastAsia="cs-CZ"/>
              </w:rPr>
              <w:t xml:space="preserve"> ŠKOL</w:t>
            </w:r>
          </w:p>
        </w:tc>
      </w:tr>
      <w:tr w:rsidR="00DB07B5" w:rsidRPr="00EE751B" w:rsidTr="00BD24D8">
        <w:trPr>
          <w:trHeight w:val="227"/>
        </w:trPr>
        <w:tc>
          <w:tcPr>
            <w:tcW w:w="9089" w:type="dxa"/>
            <w:tcBorders>
              <w:top w:val="single" w:sz="4" w:space="0" w:color="auto"/>
              <w:left w:val="nil"/>
              <w:bottom w:val="dotted" w:sz="4" w:space="0" w:color="auto"/>
              <w:right w:val="nil"/>
            </w:tcBorders>
            <w:shd w:val="clear" w:color="auto" w:fill="auto"/>
            <w:vAlign w:val="bottom"/>
            <w:hideMark/>
          </w:tcPr>
          <w:p w:rsidR="00DB07B5" w:rsidRPr="00DB07B5" w:rsidRDefault="00DB07B5" w:rsidP="00BD24D8">
            <w:pPr>
              <w:pStyle w:val="Nzev"/>
              <w:rPr>
                <w:rFonts w:eastAsia="Times New Roman"/>
                <w:b/>
                <w:lang w:eastAsia="cs-CZ"/>
              </w:rPr>
            </w:pPr>
            <w:r w:rsidRPr="00DB07B5">
              <w:rPr>
                <w:rFonts w:eastAsia="Times New Roman"/>
                <w:b/>
                <w:lang w:eastAsia="cs-CZ"/>
              </w:rPr>
              <w:t>Stavby, rekonstrukce</w:t>
            </w:r>
          </w:p>
        </w:tc>
      </w:tr>
      <w:tr w:rsidR="00DB07B5"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DB07B5" w:rsidRPr="00EE751B" w:rsidRDefault="00780FBD" w:rsidP="0020605C">
            <w:pPr>
              <w:pStyle w:val="Nzev"/>
              <w:rPr>
                <w:rFonts w:eastAsia="Times New Roman"/>
                <w:lang w:eastAsia="cs-CZ"/>
              </w:rPr>
            </w:pPr>
            <w:r w:rsidRPr="003A4AE6">
              <w:rPr>
                <w:szCs w:val="20"/>
              </w:rPr>
              <w:t>Stavební úpravy a vybavení na podporu podnětného venkovního prostředí školy např. hřiště, školní zahrady, dopravní hřiště, botanické zahrady, rybníky, učebny v přírodě, naučné stezky apod.</w:t>
            </w:r>
            <w:r>
              <w:rPr>
                <w:szCs w:val="20"/>
              </w:rPr>
              <w:t xml:space="preserve"> (</w:t>
            </w:r>
            <w:r w:rsidR="0020605C">
              <w:rPr>
                <w:szCs w:val="20"/>
              </w:rPr>
              <w:t>42,1</w:t>
            </w:r>
            <w:r>
              <w:rPr>
                <w:szCs w:val="20"/>
              </w:rPr>
              <w:t xml:space="preserve"> %)</w:t>
            </w:r>
          </w:p>
        </w:tc>
      </w:tr>
      <w:tr w:rsidR="00DB07B5"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DB07B5" w:rsidRPr="00EE751B" w:rsidRDefault="00996EF4" w:rsidP="00BD24D8">
            <w:pPr>
              <w:pStyle w:val="Nzev"/>
              <w:rPr>
                <w:rFonts w:eastAsia="Times New Roman"/>
                <w:lang w:eastAsia="cs-CZ"/>
              </w:rPr>
            </w:pPr>
            <w:r w:rsidRPr="003A4AE6">
              <w:rPr>
                <w:szCs w:val="20"/>
              </w:rPr>
              <w:t>Stavební úpravy a rekonstrukce dílny / cvičné kuchyňky</w:t>
            </w:r>
            <w:r>
              <w:rPr>
                <w:szCs w:val="20"/>
              </w:rPr>
              <w:t xml:space="preserve"> (</w:t>
            </w:r>
            <w:r w:rsidRPr="003A4AE6">
              <w:rPr>
                <w:szCs w:val="20"/>
              </w:rPr>
              <w:t>31,6</w:t>
            </w:r>
            <w:r>
              <w:rPr>
                <w:szCs w:val="20"/>
              </w:rPr>
              <w:t xml:space="preserve"> </w:t>
            </w:r>
            <w:r w:rsidRPr="003A4AE6">
              <w:rPr>
                <w:szCs w:val="20"/>
              </w:rPr>
              <w:t>%</w:t>
            </w:r>
            <w:r>
              <w:rPr>
                <w:szCs w:val="20"/>
              </w:rPr>
              <w:t>)</w:t>
            </w:r>
          </w:p>
        </w:tc>
      </w:tr>
      <w:tr w:rsidR="00DB07B5"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DB07B5" w:rsidRPr="00EE751B" w:rsidRDefault="00996EF4" w:rsidP="00BD24D8">
            <w:pPr>
              <w:pStyle w:val="Nzev"/>
              <w:rPr>
                <w:rFonts w:eastAsia="Times New Roman"/>
                <w:lang w:eastAsia="cs-CZ"/>
              </w:rPr>
            </w:pPr>
            <w:r w:rsidRPr="003A4AE6">
              <w:rPr>
                <w:szCs w:val="20"/>
              </w:rPr>
              <w:t>Stavební úpravy a rekonstrukce školní jídelny, družiny, klubu apod.</w:t>
            </w:r>
            <w:r>
              <w:rPr>
                <w:szCs w:val="20"/>
              </w:rPr>
              <w:t xml:space="preserve"> (</w:t>
            </w:r>
            <w:r w:rsidRPr="003A4AE6">
              <w:rPr>
                <w:szCs w:val="20"/>
              </w:rPr>
              <w:t>31,6</w:t>
            </w:r>
            <w:r>
              <w:rPr>
                <w:szCs w:val="20"/>
              </w:rPr>
              <w:t xml:space="preserve"> </w:t>
            </w:r>
            <w:r w:rsidRPr="003A4AE6">
              <w:rPr>
                <w:szCs w:val="20"/>
              </w:rPr>
              <w:t>%</w:t>
            </w:r>
            <w:r>
              <w:rPr>
                <w:szCs w:val="20"/>
              </w:rPr>
              <w:t>)</w:t>
            </w:r>
          </w:p>
        </w:tc>
      </w:tr>
      <w:tr w:rsidR="00DB07B5"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DB07B5" w:rsidRPr="00DB07B5" w:rsidRDefault="00DB07B5" w:rsidP="00BD24D8">
            <w:pPr>
              <w:pStyle w:val="Nzev"/>
              <w:rPr>
                <w:rFonts w:eastAsia="Times New Roman"/>
                <w:b/>
                <w:lang w:eastAsia="cs-CZ"/>
              </w:rPr>
            </w:pPr>
            <w:r w:rsidRPr="00DB07B5">
              <w:rPr>
                <w:rFonts w:eastAsia="Times New Roman"/>
                <w:b/>
                <w:lang w:eastAsia="cs-CZ"/>
              </w:rPr>
              <w:t>Vybavení</w:t>
            </w:r>
          </w:p>
        </w:tc>
      </w:tr>
      <w:tr w:rsidR="00DB07B5" w:rsidRPr="00EE751B" w:rsidTr="00BD24D8">
        <w:trPr>
          <w:trHeight w:val="227"/>
        </w:trPr>
        <w:tc>
          <w:tcPr>
            <w:tcW w:w="9089" w:type="dxa"/>
            <w:tcBorders>
              <w:top w:val="dotted" w:sz="4" w:space="0" w:color="auto"/>
              <w:left w:val="nil"/>
              <w:bottom w:val="dotted" w:sz="4" w:space="0" w:color="auto"/>
              <w:right w:val="nil"/>
            </w:tcBorders>
            <w:shd w:val="clear" w:color="auto" w:fill="auto"/>
            <w:vAlign w:val="bottom"/>
            <w:hideMark/>
          </w:tcPr>
          <w:p w:rsidR="00DB07B5" w:rsidRPr="00EE751B" w:rsidRDefault="00EB6DCD" w:rsidP="00BD24D8">
            <w:pPr>
              <w:pStyle w:val="Nzev"/>
              <w:rPr>
                <w:rFonts w:eastAsia="Times New Roman"/>
                <w:lang w:eastAsia="cs-CZ"/>
              </w:rPr>
            </w:pPr>
            <w:r w:rsidRPr="00FD3884">
              <w:rPr>
                <w:rFonts w:eastAsia="Times New Roman"/>
                <w:lang w:eastAsia="cs-CZ"/>
              </w:rPr>
              <w:t>Kompenzační/ speciální pomůcky pro žáky se SVP</w:t>
            </w:r>
            <w:r>
              <w:rPr>
                <w:rFonts w:eastAsia="Times New Roman"/>
                <w:lang w:eastAsia="cs-CZ"/>
              </w:rPr>
              <w:t xml:space="preserve"> (68,4 %)</w:t>
            </w:r>
          </w:p>
        </w:tc>
      </w:tr>
      <w:tr w:rsidR="00DB07B5" w:rsidRPr="00EE751B" w:rsidTr="009F3EF6">
        <w:trPr>
          <w:trHeight w:val="227"/>
        </w:trPr>
        <w:tc>
          <w:tcPr>
            <w:tcW w:w="9089" w:type="dxa"/>
            <w:tcBorders>
              <w:top w:val="dotted" w:sz="4" w:space="0" w:color="auto"/>
              <w:left w:val="nil"/>
              <w:bottom w:val="dotted" w:sz="4" w:space="0" w:color="auto"/>
              <w:right w:val="nil"/>
            </w:tcBorders>
            <w:shd w:val="clear" w:color="auto" w:fill="auto"/>
            <w:vAlign w:val="bottom"/>
            <w:hideMark/>
          </w:tcPr>
          <w:p w:rsidR="00DB07B5" w:rsidRPr="00EE751B" w:rsidRDefault="00EB6DCD" w:rsidP="00BD24D8">
            <w:pPr>
              <w:pStyle w:val="Nzev"/>
              <w:rPr>
                <w:rFonts w:eastAsia="Times New Roman"/>
                <w:lang w:eastAsia="cs-CZ"/>
              </w:rPr>
            </w:pPr>
            <w:r w:rsidRPr="00FD3884">
              <w:rPr>
                <w:rFonts w:eastAsia="Times New Roman"/>
                <w:lang w:eastAsia="cs-CZ"/>
              </w:rPr>
              <w:t>Nové didaktické pomůcky</w:t>
            </w:r>
            <w:r w:rsidR="009F3EF6">
              <w:rPr>
                <w:rFonts w:eastAsia="Times New Roman"/>
                <w:lang w:eastAsia="cs-CZ"/>
              </w:rPr>
              <w:t xml:space="preserve"> (57,9 %)</w:t>
            </w:r>
          </w:p>
        </w:tc>
      </w:tr>
      <w:tr w:rsidR="00DB07B5" w:rsidRPr="00EE751B" w:rsidTr="009F3EF6">
        <w:trPr>
          <w:trHeight w:val="227"/>
        </w:trPr>
        <w:tc>
          <w:tcPr>
            <w:tcW w:w="9089" w:type="dxa"/>
            <w:tcBorders>
              <w:top w:val="dotted" w:sz="4" w:space="0" w:color="auto"/>
              <w:left w:val="nil"/>
              <w:right w:val="nil"/>
            </w:tcBorders>
            <w:shd w:val="clear" w:color="auto" w:fill="auto"/>
            <w:vAlign w:val="bottom"/>
            <w:hideMark/>
          </w:tcPr>
          <w:p w:rsidR="00DB07B5" w:rsidRPr="00EE751B" w:rsidRDefault="00EB6DCD" w:rsidP="00BD24D8">
            <w:pPr>
              <w:pStyle w:val="Nzev"/>
              <w:rPr>
                <w:rFonts w:eastAsia="Times New Roman"/>
                <w:lang w:eastAsia="cs-CZ"/>
              </w:rPr>
            </w:pPr>
            <w:r w:rsidRPr="00933A42">
              <w:rPr>
                <w:rFonts w:eastAsia="Times New Roman"/>
                <w:lang w:eastAsia="cs-CZ"/>
              </w:rPr>
              <w:t>Vybavení na podporu podnětného vnitřního prostředí školy např. čtenářské koutky, prostor na sdílení zkušeností z výuky, na rozvoj jednotlivých gramotností apod.</w:t>
            </w:r>
            <w:r w:rsidR="009F3EF6">
              <w:rPr>
                <w:rFonts w:eastAsia="Times New Roman"/>
                <w:lang w:eastAsia="cs-CZ"/>
              </w:rPr>
              <w:t xml:space="preserve"> (57,9 %)</w:t>
            </w:r>
          </w:p>
        </w:tc>
      </w:tr>
    </w:tbl>
    <w:p w:rsidR="00CA118D" w:rsidRPr="00883006" w:rsidRDefault="00844AB7" w:rsidP="00955CEC">
      <w:pPr>
        <w:pStyle w:val="Nadpis2"/>
      </w:pPr>
      <w:bookmarkStart w:id="25" w:name="_Toc465592572"/>
      <w:r w:rsidRPr="00883006">
        <w:t>Zjištěné potřeby investic v MŠ a ZŠ a stupeň jejich připravenosti</w:t>
      </w:r>
      <w:bookmarkEnd w:id="25"/>
    </w:p>
    <w:p w:rsidR="00844AB7" w:rsidRPr="00883006" w:rsidRDefault="00883006" w:rsidP="00955CEC">
      <w:pPr>
        <w:pStyle w:val="Bezmezer"/>
      </w:pPr>
      <w:r w:rsidRPr="00883006">
        <w:t>Bude doplněno v dalším průběhu zpracování.</w:t>
      </w:r>
    </w:p>
    <w:p w:rsidR="00CA118D" w:rsidRPr="0061324B" w:rsidRDefault="00844AB7" w:rsidP="00955CEC">
      <w:pPr>
        <w:pStyle w:val="Nadpis2"/>
      </w:pPr>
      <w:bookmarkStart w:id="26" w:name="_Toc465592573"/>
      <w:r w:rsidRPr="0061324B">
        <w:t>Rešerše relevantních dokumentů v oblasti vzdělávání</w:t>
      </w:r>
      <w:bookmarkEnd w:id="26"/>
    </w:p>
    <w:p w:rsidR="002A69AE" w:rsidRDefault="0061324B" w:rsidP="00955CEC">
      <w:pPr>
        <w:pStyle w:val="Bezmezer"/>
      </w:pPr>
      <w:r>
        <w:t>Tato kapitola stručně shrnuje nejdůležitější závěry z dokumentů, které jsou vzhledem ke své povaze relevantním podkladem pro zpracovávanou analýzu.</w:t>
      </w:r>
    </w:p>
    <w:p w:rsidR="005B1E84" w:rsidRPr="00CD4CD7" w:rsidRDefault="0061324B" w:rsidP="00CD4CD7">
      <w:pPr>
        <w:pStyle w:val="Nadpis3"/>
      </w:pPr>
      <w:r w:rsidRPr="00CD4CD7">
        <w:t xml:space="preserve"> </w:t>
      </w:r>
      <w:bookmarkStart w:id="27" w:name="_Toc465592574"/>
      <w:r w:rsidR="00CD4CD7">
        <w:t>strategie vzdělávací politiky české republiky do roku 2020</w:t>
      </w:r>
      <w:bookmarkEnd w:id="27"/>
      <w:r w:rsidR="00CD4CD7" w:rsidRPr="00CD4CD7">
        <w:t xml:space="preserve"> </w:t>
      </w:r>
    </w:p>
    <w:p w:rsidR="0061324B" w:rsidRPr="005E36B5" w:rsidRDefault="005E36B5" w:rsidP="005E36B5">
      <w:pPr>
        <w:pStyle w:val="Bezmezer"/>
      </w:pPr>
      <w:r w:rsidRPr="005E36B5">
        <w:t>Strategie vzd</w:t>
      </w:r>
      <w:r w:rsidRPr="005E36B5">
        <w:rPr>
          <w:rFonts w:hint="eastAsia"/>
        </w:rPr>
        <w:t>ě</w:t>
      </w:r>
      <w:r w:rsidRPr="005E36B5">
        <w:t xml:space="preserve">lávací politiky </w:t>
      </w:r>
      <w:r w:rsidRPr="005E36B5">
        <w:rPr>
          <w:rFonts w:hint="eastAsia"/>
        </w:rPr>
        <w:t>Č</w:t>
      </w:r>
      <w:r w:rsidRPr="005E36B5">
        <w:t>eské republiky do roku 2020 na základ</w:t>
      </w:r>
      <w:r w:rsidRPr="005E36B5">
        <w:rPr>
          <w:rFonts w:hint="eastAsia"/>
        </w:rPr>
        <w:t>ě</w:t>
      </w:r>
      <w:r w:rsidRPr="005E36B5">
        <w:t xml:space="preserve"> zhodnocení aktuálního stavu vzd</w:t>
      </w:r>
      <w:r w:rsidRPr="005E36B5">
        <w:rPr>
          <w:rFonts w:hint="eastAsia"/>
        </w:rPr>
        <w:t>ě</w:t>
      </w:r>
      <w:r w:rsidRPr="005E36B5">
        <w:t>lávacího systému nov</w:t>
      </w:r>
      <w:r w:rsidRPr="005E36B5">
        <w:rPr>
          <w:rFonts w:hint="eastAsia"/>
        </w:rPr>
        <w:t>ě</w:t>
      </w:r>
      <w:r w:rsidRPr="005E36B5">
        <w:t xml:space="preserve"> stanovuje základ</w:t>
      </w:r>
      <w:r>
        <w:t>ní rámec pro jeho další rozvoj.</w:t>
      </w:r>
      <w:r w:rsidR="00F51A04">
        <w:t xml:space="preserve"> </w:t>
      </w:r>
      <w:r>
        <w:lastRenderedPageBreak/>
        <w:t>Podle samotného dokumentu by z něj měli vy</w:t>
      </w:r>
      <w:r w:rsidRPr="005E36B5">
        <w:t>cházet všichni tv</w:t>
      </w:r>
      <w:r w:rsidRPr="005E36B5">
        <w:rPr>
          <w:rFonts w:hint="eastAsia"/>
        </w:rPr>
        <w:t>ů</w:t>
      </w:r>
      <w:r w:rsidRPr="005E36B5">
        <w:t>rci vzd</w:t>
      </w:r>
      <w:r w:rsidRPr="005E36B5">
        <w:rPr>
          <w:rFonts w:hint="eastAsia"/>
        </w:rPr>
        <w:t>ě</w:t>
      </w:r>
      <w:r w:rsidRPr="005E36B5">
        <w:t xml:space="preserve">lávací politiky, zejména </w:t>
      </w:r>
      <w:r>
        <w:t>MŠMT</w:t>
      </w:r>
      <w:r w:rsidRPr="005E36B5">
        <w:t>, další úst</w:t>
      </w:r>
      <w:r w:rsidRPr="005E36B5">
        <w:rPr>
          <w:rFonts w:hint="eastAsia"/>
        </w:rPr>
        <w:t>ř</w:t>
      </w:r>
      <w:r w:rsidRPr="005E36B5">
        <w:t>ední orgány státní správy a územn</w:t>
      </w:r>
      <w:r w:rsidRPr="005E36B5">
        <w:rPr>
          <w:rFonts w:hint="eastAsia"/>
        </w:rPr>
        <w:t>ě</w:t>
      </w:r>
      <w:r w:rsidRPr="005E36B5">
        <w:t xml:space="preserve"> samosprávné celky s odpov</w:t>
      </w:r>
      <w:r w:rsidRPr="005E36B5">
        <w:rPr>
          <w:rFonts w:hint="eastAsia"/>
        </w:rPr>
        <w:t>ě</w:t>
      </w:r>
      <w:r w:rsidRPr="005E36B5">
        <w:t>dností za oblast vzd</w:t>
      </w:r>
      <w:r w:rsidRPr="005E36B5">
        <w:rPr>
          <w:rFonts w:hint="eastAsia"/>
        </w:rPr>
        <w:t>ě</w:t>
      </w:r>
      <w:r w:rsidRPr="005E36B5">
        <w:t>lávání.</w:t>
      </w:r>
    </w:p>
    <w:p w:rsidR="00F51A04" w:rsidRDefault="00F51A04" w:rsidP="00F51A04">
      <w:pPr>
        <w:pStyle w:val="Bezmezer"/>
      </w:pPr>
      <w:r>
        <w:t>Strategie stanovuje pro období do roku 2020 t</w:t>
      </w:r>
      <w:r>
        <w:rPr>
          <w:rFonts w:hint="eastAsia"/>
        </w:rPr>
        <w:t>ř</w:t>
      </w:r>
      <w:r>
        <w:t>i pr</w:t>
      </w:r>
      <w:r>
        <w:rPr>
          <w:rFonts w:hint="eastAsia"/>
        </w:rPr>
        <w:t>ůř</w:t>
      </w:r>
      <w:r>
        <w:t>ezové priority:</w:t>
      </w:r>
    </w:p>
    <w:p w:rsidR="00F51A04" w:rsidRDefault="00F51A04" w:rsidP="00F51A04">
      <w:pPr>
        <w:pStyle w:val="Bezmezer"/>
        <w:numPr>
          <w:ilvl w:val="0"/>
          <w:numId w:val="37"/>
        </w:numPr>
        <w:ind w:hanging="294"/>
      </w:pPr>
      <w:r>
        <w:t>snižovat nerovnosti ve vzd</w:t>
      </w:r>
      <w:r>
        <w:rPr>
          <w:rFonts w:hint="eastAsia"/>
        </w:rPr>
        <w:t>ě</w:t>
      </w:r>
      <w:r>
        <w:t>lávání</w:t>
      </w:r>
    </w:p>
    <w:p w:rsidR="00F51A04" w:rsidRDefault="00F51A04" w:rsidP="00F51A04">
      <w:pPr>
        <w:pStyle w:val="Bezmezer"/>
        <w:numPr>
          <w:ilvl w:val="0"/>
          <w:numId w:val="37"/>
        </w:numPr>
        <w:ind w:hanging="294"/>
      </w:pPr>
      <w:r>
        <w:t>podporovat kvalitní výuku a u</w:t>
      </w:r>
      <w:r>
        <w:rPr>
          <w:rFonts w:hint="eastAsia"/>
        </w:rPr>
        <w:t>č</w:t>
      </w:r>
      <w:r>
        <w:t>itele jako její klí</w:t>
      </w:r>
      <w:r>
        <w:rPr>
          <w:rFonts w:hint="eastAsia"/>
        </w:rPr>
        <w:t>č</w:t>
      </w:r>
      <w:r>
        <w:t>ový p</w:t>
      </w:r>
      <w:r>
        <w:rPr>
          <w:rFonts w:hint="eastAsia"/>
        </w:rPr>
        <w:t>ř</w:t>
      </w:r>
      <w:r>
        <w:t>edpoklad</w:t>
      </w:r>
    </w:p>
    <w:p w:rsidR="00844AB7" w:rsidRDefault="00F51A04" w:rsidP="00F51A04">
      <w:pPr>
        <w:pStyle w:val="Bezmezer"/>
        <w:numPr>
          <w:ilvl w:val="0"/>
          <w:numId w:val="37"/>
        </w:numPr>
        <w:ind w:hanging="294"/>
      </w:pPr>
      <w:r>
        <w:t>odpov</w:t>
      </w:r>
      <w:r>
        <w:rPr>
          <w:rFonts w:hint="eastAsia"/>
        </w:rPr>
        <w:t>ě</w:t>
      </w:r>
      <w:r>
        <w:t>dn</w:t>
      </w:r>
      <w:r>
        <w:rPr>
          <w:rFonts w:hint="eastAsia"/>
        </w:rPr>
        <w:t>ě</w:t>
      </w:r>
      <w:r>
        <w:t xml:space="preserve"> a efektivn</w:t>
      </w:r>
      <w:r>
        <w:rPr>
          <w:rFonts w:hint="eastAsia"/>
        </w:rPr>
        <w:t>ě</w:t>
      </w:r>
      <w:r>
        <w:t xml:space="preserve"> </w:t>
      </w:r>
      <w:r>
        <w:rPr>
          <w:rFonts w:hint="eastAsia"/>
        </w:rPr>
        <w:t>ří</w:t>
      </w:r>
      <w:r>
        <w:t>dit vzd</w:t>
      </w:r>
      <w:r>
        <w:rPr>
          <w:rFonts w:hint="eastAsia"/>
        </w:rPr>
        <w:t>ě</w:t>
      </w:r>
      <w:r>
        <w:t>lávací systém</w:t>
      </w:r>
    </w:p>
    <w:p w:rsidR="00F51A04" w:rsidRDefault="00EA57BF" w:rsidP="00F51A04">
      <w:pPr>
        <w:pStyle w:val="Bezmezer"/>
      </w:pPr>
      <w:r>
        <w:t>Všechny tři body byly ve větší nebo menší míře v této analýze zmíněny. Z hlediska dalších možných kroků v rámci MAP na úrovni ORP jsou však stěžejní první dva body. K nim strategie poznamenává:</w:t>
      </w:r>
    </w:p>
    <w:p w:rsidR="00EA57BF" w:rsidRPr="006412A8" w:rsidRDefault="006412A8" w:rsidP="00F51A04">
      <w:pPr>
        <w:pStyle w:val="Bezmezer"/>
        <w:rPr>
          <w:u w:val="single"/>
        </w:rPr>
      </w:pPr>
      <w:r>
        <w:rPr>
          <w:u w:val="single"/>
        </w:rPr>
        <w:t>S</w:t>
      </w:r>
      <w:r w:rsidR="00EA57BF" w:rsidRPr="006412A8">
        <w:rPr>
          <w:u w:val="single"/>
        </w:rPr>
        <w:t>nižovat nerovnosti ve vzd</w:t>
      </w:r>
      <w:r w:rsidR="00EA57BF" w:rsidRPr="006412A8">
        <w:rPr>
          <w:rFonts w:hint="eastAsia"/>
          <w:u w:val="single"/>
        </w:rPr>
        <w:t>ě</w:t>
      </w:r>
      <w:r w:rsidR="00EA57BF" w:rsidRPr="006412A8">
        <w:rPr>
          <w:u w:val="single"/>
        </w:rPr>
        <w:t>lávání</w:t>
      </w:r>
    </w:p>
    <w:p w:rsidR="00EA57BF" w:rsidRDefault="00EA57BF" w:rsidP="00F51A04">
      <w:pPr>
        <w:pStyle w:val="Bezmezer"/>
      </w:pPr>
      <w:r>
        <w:t>„</w:t>
      </w:r>
      <w:r w:rsidRPr="006C6393">
        <w:rPr>
          <w:i/>
        </w:rPr>
        <w:t xml:space="preserve">Strategie usiluje o to, aby </w:t>
      </w:r>
      <w:r w:rsidRPr="006C6393">
        <w:rPr>
          <w:b/>
          <w:i/>
        </w:rPr>
        <w:t>žádná spole</w:t>
      </w:r>
      <w:r w:rsidRPr="006C6393">
        <w:rPr>
          <w:rFonts w:hint="eastAsia"/>
          <w:b/>
          <w:i/>
        </w:rPr>
        <w:t>č</w:t>
      </w:r>
      <w:r w:rsidRPr="006C6393">
        <w:rPr>
          <w:b/>
          <w:i/>
        </w:rPr>
        <w:t>enská skupina nebyla v p</w:t>
      </w:r>
      <w:r w:rsidRPr="006C6393">
        <w:rPr>
          <w:rFonts w:hint="eastAsia"/>
          <w:b/>
          <w:i/>
        </w:rPr>
        <w:t>ří</w:t>
      </w:r>
      <w:r w:rsidRPr="006C6393">
        <w:rPr>
          <w:b/>
          <w:i/>
        </w:rPr>
        <w:t>stupu ke školnímu vzd</w:t>
      </w:r>
      <w:r w:rsidRPr="006C6393">
        <w:rPr>
          <w:rFonts w:hint="eastAsia"/>
          <w:b/>
          <w:i/>
        </w:rPr>
        <w:t>ě</w:t>
      </w:r>
      <w:r w:rsidRPr="006C6393">
        <w:rPr>
          <w:b/>
          <w:i/>
        </w:rPr>
        <w:t>lávání znevýhodn</w:t>
      </w:r>
      <w:r w:rsidRPr="006C6393">
        <w:rPr>
          <w:rFonts w:hint="eastAsia"/>
          <w:b/>
          <w:i/>
        </w:rPr>
        <w:t>ě</w:t>
      </w:r>
      <w:r w:rsidRPr="006C6393">
        <w:rPr>
          <w:b/>
          <w:i/>
        </w:rPr>
        <w:t>na</w:t>
      </w:r>
      <w:r w:rsidRPr="006C6393">
        <w:rPr>
          <w:i/>
        </w:rPr>
        <w:t xml:space="preserve"> a aby vzd</w:t>
      </w:r>
      <w:r w:rsidRPr="006C6393">
        <w:rPr>
          <w:rFonts w:hint="eastAsia"/>
          <w:i/>
        </w:rPr>
        <w:t>ě</w:t>
      </w:r>
      <w:r w:rsidRPr="006C6393">
        <w:rPr>
          <w:i/>
        </w:rPr>
        <w:t>lávací p</w:t>
      </w:r>
      <w:r w:rsidRPr="006C6393">
        <w:rPr>
          <w:rFonts w:hint="eastAsia"/>
          <w:i/>
        </w:rPr>
        <w:t>ří</w:t>
      </w:r>
      <w:r w:rsidRPr="006C6393">
        <w:rPr>
          <w:i/>
        </w:rPr>
        <w:t>ležitosti i výsledky byly co nejmén</w:t>
      </w:r>
      <w:r w:rsidRPr="006C6393">
        <w:rPr>
          <w:rFonts w:hint="eastAsia"/>
          <w:i/>
        </w:rPr>
        <w:t>ě</w:t>
      </w:r>
      <w:r w:rsidRPr="006C6393">
        <w:rPr>
          <w:i/>
        </w:rPr>
        <w:t xml:space="preserve"> ovlivn</w:t>
      </w:r>
      <w:r w:rsidRPr="006C6393">
        <w:rPr>
          <w:rFonts w:hint="eastAsia"/>
          <w:i/>
        </w:rPr>
        <w:t>ě</w:t>
      </w:r>
      <w:r w:rsidRPr="006C6393">
        <w:rPr>
          <w:i/>
        </w:rPr>
        <w:t>ny takovými faktory, jako je pohlaví, socioekonomický status, region, národnost, p</w:t>
      </w:r>
      <w:r w:rsidRPr="006C6393">
        <w:rPr>
          <w:rFonts w:hint="eastAsia"/>
          <w:i/>
        </w:rPr>
        <w:t>ů</w:t>
      </w:r>
      <w:r w:rsidRPr="006C6393">
        <w:rPr>
          <w:i/>
        </w:rPr>
        <w:t>vod v kulturn</w:t>
      </w:r>
      <w:r w:rsidRPr="006C6393">
        <w:rPr>
          <w:rFonts w:hint="eastAsia"/>
          <w:i/>
        </w:rPr>
        <w:t>ě</w:t>
      </w:r>
      <w:r w:rsidRPr="006C6393">
        <w:rPr>
          <w:i/>
        </w:rPr>
        <w:t xml:space="preserve"> odlišném prost</w:t>
      </w:r>
      <w:r w:rsidRPr="006C6393">
        <w:rPr>
          <w:rFonts w:hint="eastAsia"/>
          <w:i/>
        </w:rPr>
        <w:t>ř</w:t>
      </w:r>
      <w:r w:rsidRPr="006C6393">
        <w:rPr>
          <w:i/>
        </w:rPr>
        <w:t>edí (imigranti) apod., které jedinec nem</w:t>
      </w:r>
      <w:r w:rsidRPr="006C6393">
        <w:rPr>
          <w:rFonts w:hint="eastAsia"/>
          <w:i/>
        </w:rPr>
        <w:t>ůž</w:t>
      </w:r>
      <w:r w:rsidRPr="006C6393">
        <w:rPr>
          <w:i/>
        </w:rPr>
        <w:t>e ovlivnit. Specificky se strategie zam</w:t>
      </w:r>
      <w:r w:rsidRPr="006C6393">
        <w:rPr>
          <w:rFonts w:hint="eastAsia"/>
          <w:i/>
        </w:rPr>
        <w:t>ěř</w:t>
      </w:r>
      <w:r w:rsidRPr="006C6393">
        <w:rPr>
          <w:i/>
        </w:rPr>
        <w:t xml:space="preserve">uje na </w:t>
      </w:r>
      <w:r w:rsidRPr="006C6393">
        <w:rPr>
          <w:b/>
          <w:i/>
        </w:rPr>
        <w:t>snížení podílu d</w:t>
      </w:r>
      <w:r w:rsidRPr="006C6393">
        <w:rPr>
          <w:rFonts w:hint="eastAsia"/>
          <w:b/>
          <w:i/>
        </w:rPr>
        <w:t>ě</w:t>
      </w:r>
      <w:r w:rsidRPr="006C6393">
        <w:rPr>
          <w:b/>
          <w:i/>
        </w:rPr>
        <w:t>tí, žák</w:t>
      </w:r>
      <w:r w:rsidRPr="006C6393">
        <w:rPr>
          <w:rFonts w:hint="eastAsia"/>
          <w:b/>
          <w:i/>
        </w:rPr>
        <w:t>ů</w:t>
      </w:r>
      <w:r w:rsidRPr="006C6393">
        <w:rPr>
          <w:b/>
          <w:i/>
        </w:rPr>
        <w:t xml:space="preserve"> a student</w:t>
      </w:r>
      <w:r w:rsidRPr="006C6393">
        <w:rPr>
          <w:rFonts w:hint="eastAsia"/>
          <w:b/>
          <w:i/>
        </w:rPr>
        <w:t>ů</w:t>
      </w:r>
      <w:r w:rsidRPr="006C6393">
        <w:rPr>
          <w:b/>
          <w:i/>
        </w:rPr>
        <w:t>, kte</w:t>
      </w:r>
      <w:r w:rsidRPr="006C6393">
        <w:rPr>
          <w:rFonts w:hint="eastAsia"/>
          <w:b/>
          <w:i/>
        </w:rPr>
        <w:t>ří</w:t>
      </w:r>
      <w:r w:rsidRPr="006C6393">
        <w:rPr>
          <w:b/>
          <w:i/>
        </w:rPr>
        <w:t xml:space="preserve"> nedosahují ani základní úrovn</w:t>
      </w:r>
      <w:r w:rsidRPr="006C6393">
        <w:rPr>
          <w:rFonts w:hint="eastAsia"/>
          <w:b/>
          <w:i/>
        </w:rPr>
        <w:t>ě</w:t>
      </w:r>
      <w:r w:rsidRPr="006C6393">
        <w:rPr>
          <w:b/>
          <w:i/>
        </w:rPr>
        <w:t xml:space="preserve"> o</w:t>
      </w:r>
      <w:r w:rsidRPr="006C6393">
        <w:rPr>
          <w:rFonts w:hint="eastAsia"/>
          <w:b/>
          <w:i/>
        </w:rPr>
        <w:t>č</w:t>
      </w:r>
      <w:r w:rsidRPr="006C6393">
        <w:rPr>
          <w:b/>
          <w:i/>
        </w:rPr>
        <w:t>ekávaných výsledk</w:t>
      </w:r>
      <w:r w:rsidRPr="006C6393">
        <w:rPr>
          <w:rFonts w:hint="eastAsia"/>
          <w:b/>
          <w:i/>
        </w:rPr>
        <w:t>ů</w:t>
      </w:r>
      <w:r w:rsidRPr="006C6393">
        <w:rPr>
          <w:b/>
          <w:i/>
        </w:rPr>
        <w:t xml:space="preserve"> vzd</w:t>
      </w:r>
      <w:r w:rsidRPr="006C6393">
        <w:rPr>
          <w:rFonts w:hint="eastAsia"/>
          <w:b/>
          <w:i/>
        </w:rPr>
        <w:t>ě</w:t>
      </w:r>
      <w:r w:rsidRPr="006C6393">
        <w:rPr>
          <w:b/>
          <w:i/>
        </w:rPr>
        <w:t>lávání</w:t>
      </w:r>
      <w:r w:rsidRPr="006C6393">
        <w:rPr>
          <w:i/>
        </w:rPr>
        <w:t>. Zjišt</w:t>
      </w:r>
      <w:r w:rsidRPr="006C6393">
        <w:rPr>
          <w:rFonts w:hint="eastAsia"/>
          <w:i/>
        </w:rPr>
        <w:t>ě</w:t>
      </w:r>
      <w:r w:rsidRPr="006C6393">
        <w:rPr>
          <w:i/>
        </w:rPr>
        <w:t>ní z mezinárodních šet</w:t>
      </w:r>
      <w:r w:rsidRPr="006C6393">
        <w:rPr>
          <w:rFonts w:hint="eastAsia"/>
          <w:i/>
        </w:rPr>
        <w:t>ř</w:t>
      </w:r>
      <w:r w:rsidRPr="006C6393">
        <w:rPr>
          <w:i/>
        </w:rPr>
        <w:t>ení totiž nazna</w:t>
      </w:r>
      <w:r w:rsidRPr="006C6393">
        <w:rPr>
          <w:rFonts w:hint="eastAsia"/>
          <w:i/>
        </w:rPr>
        <w:t>č</w:t>
      </w:r>
      <w:r w:rsidRPr="006C6393">
        <w:rPr>
          <w:i/>
        </w:rPr>
        <w:t>ují, že nap</w:t>
      </w:r>
      <w:r w:rsidRPr="006C6393">
        <w:rPr>
          <w:rFonts w:hint="eastAsia"/>
          <w:i/>
        </w:rPr>
        <w:t>ř</w:t>
      </w:r>
      <w:r w:rsidRPr="006C6393">
        <w:rPr>
          <w:i/>
        </w:rPr>
        <w:t>. na konci povinné školní docházky v sou</w:t>
      </w:r>
      <w:r w:rsidRPr="006C6393">
        <w:rPr>
          <w:rFonts w:hint="eastAsia"/>
          <w:i/>
        </w:rPr>
        <w:t>č</w:t>
      </w:r>
      <w:r w:rsidRPr="006C6393">
        <w:rPr>
          <w:i/>
        </w:rPr>
        <w:t>asnosti podíl t</w:t>
      </w:r>
      <w:r w:rsidRPr="006C6393">
        <w:rPr>
          <w:rFonts w:hint="eastAsia"/>
          <w:i/>
        </w:rPr>
        <w:t>ě</w:t>
      </w:r>
      <w:r w:rsidRPr="006C6393">
        <w:rPr>
          <w:i/>
        </w:rPr>
        <w:t>chto žák</w:t>
      </w:r>
      <w:r w:rsidRPr="006C6393">
        <w:rPr>
          <w:rFonts w:hint="eastAsia"/>
          <w:i/>
        </w:rPr>
        <w:t>ů</w:t>
      </w:r>
      <w:r w:rsidRPr="006C6393">
        <w:rPr>
          <w:i/>
        </w:rPr>
        <w:t xml:space="preserve"> s nejhoršími výsledky oproti minulým let</w:t>
      </w:r>
      <w:r w:rsidRPr="006C6393">
        <w:rPr>
          <w:rFonts w:hint="eastAsia"/>
          <w:i/>
        </w:rPr>
        <w:t>ů</w:t>
      </w:r>
      <w:r w:rsidRPr="006C6393">
        <w:rPr>
          <w:i/>
        </w:rPr>
        <w:t>m obecn</w:t>
      </w:r>
      <w:r w:rsidRPr="006C6393">
        <w:rPr>
          <w:rFonts w:hint="eastAsia"/>
          <w:i/>
        </w:rPr>
        <w:t>ě</w:t>
      </w:r>
      <w:r w:rsidRPr="006C6393">
        <w:rPr>
          <w:i/>
        </w:rPr>
        <w:t xml:space="preserve"> sice klesá, ale stále z</w:t>
      </w:r>
      <w:r w:rsidRPr="006C6393">
        <w:rPr>
          <w:rFonts w:hint="eastAsia"/>
          <w:i/>
        </w:rPr>
        <w:t>ů</w:t>
      </w:r>
      <w:r w:rsidRPr="006C6393">
        <w:rPr>
          <w:i/>
        </w:rPr>
        <w:t>stává pom</w:t>
      </w:r>
      <w:r w:rsidRPr="006C6393">
        <w:rPr>
          <w:rFonts w:hint="eastAsia"/>
          <w:i/>
        </w:rPr>
        <w:t>ě</w:t>
      </w:r>
      <w:r w:rsidRPr="006C6393">
        <w:rPr>
          <w:i/>
        </w:rPr>
        <w:t>rn</w:t>
      </w:r>
      <w:r w:rsidRPr="006C6393">
        <w:rPr>
          <w:rFonts w:hint="eastAsia"/>
          <w:i/>
        </w:rPr>
        <w:t>ě</w:t>
      </w:r>
      <w:r w:rsidRPr="006C6393">
        <w:rPr>
          <w:i/>
        </w:rPr>
        <w:t xml:space="preserve"> vysoký. Vzd</w:t>
      </w:r>
      <w:r w:rsidRPr="006C6393">
        <w:rPr>
          <w:rFonts w:hint="eastAsia"/>
          <w:i/>
        </w:rPr>
        <w:t>ě</w:t>
      </w:r>
      <w:r w:rsidRPr="006C6393">
        <w:rPr>
          <w:i/>
        </w:rPr>
        <w:t xml:space="preserve">lávací systém však musí být koncipován tak, aby </w:t>
      </w:r>
      <w:r w:rsidRPr="006C6393">
        <w:rPr>
          <w:b/>
          <w:i/>
        </w:rPr>
        <w:t>škola maximáln</w:t>
      </w:r>
      <w:r w:rsidRPr="006C6393">
        <w:rPr>
          <w:rFonts w:hint="eastAsia"/>
          <w:b/>
          <w:i/>
        </w:rPr>
        <w:t>ě</w:t>
      </w:r>
      <w:r w:rsidRPr="006C6393">
        <w:rPr>
          <w:b/>
          <w:i/>
        </w:rPr>
        <w:t xml:space="preserve"> rozvíjela potenciál všech d</w:t>
      </w:r>
      <w:r w:rsidRPr="006C6393">
        <w:rPr>
          <w:rFonts w:hint="eastAsia"/>
          <w:b/>
          <w:i/>
        </w:rPr>
        <w:t>ě</w:t>
      </w:r>
      <w:r w:rsidRPr="006C6393">
        <w:rPr>
          <w:b/>
          <w:i/>
        </w:rPr>
        <w:t>tí, žák</w:t>
      </w:r>
      <w:r w:rsidRPr="006C6393">
        <w:rPr>
          <w:rFonts w:hint="eastAsia"/>
          <w:b/>
          <w:i/>
        </w:rPr>
        <w:t>ů</w:t>
      </w:r>
      <w:r w:rsidRPr="006C6393">
        <w:rPr>
          <w:b/>
          <w:i/>
        </w:rPr>
        <w:t xml:space="preserve"> a student</w:t>
      </w:r>
      <w:r w:rsidRPr="006C6393">
        <w:rPr>
          <w:rFonts w:hint="eastAsia"/>
          <w:b/>
          <w:i/>
        </w:rPr>
        <w:t>ů</w:t>
      </w:r>
      <w:r w:rsidRPr="006C6393">
        <w:rPr>
          <w:b/>
          <w:i/>
        </w:rPr>
        <w:t>, tedy i t</w:t>
      </w:r>
      <w:r w:rsidRPr="006C6393">
        <w:rPr>
          <w:rFonts w:hint="eastAsia"/>
          <w:b/>
          <w:i/>
        </w:rPr>
        <w:t>ě</w:t>
      </w:r>
      <w:r w:rsidRPr="006C6393">
        <w:rPr>
          <w:b/>
          <w:i/>
        </w:rPr>
        <w:t xml:space="preserve">ch s výukovými a </w:t>
      </w:r>
      <w:proofErr w:type="spellStart"/>
      <w:r w:rsidRPr="006C6393">
        <w:rPr>
          <w:b/>
          <w:i/>
        </w:rPr>
        <w:t>sociokulturními</w:t>
      </w:r>
      <w:proofErr w:type="spellEnd"/>
      <w:r w:rsidRPr="006C6393">
        <w:rPr>
          <w:b/>
          <w:i/>
        </w:rPr>
        <w:t xml:space="preserve"> problémy a samoz</w:t>
      </w:r>
      <w:r w:rsidRPr="006C6393">
        <w:rPr>
          <w:rFonts w:hint="eastAsia"/>
          <w:b/>
          <w:i/>
        </w:rPr>
        <w:t>ř</w:t>
      </w:r>
      <w:r w:rsidRPr="006C6393">
        <w:rPr>
          <w:b/>
          <w:i/>
        </w:rPr>
        <w:t>ejm</w:t>
      </w:r>
      <w:r w:rsidRPr="006C6393">
        <w:rPr>
          <w:rFonts w:hint="eastAsia"/>
          <w:b/>
          <w:i/>
        </w:rPr>
        <w:t>ě</w:t>
      </w:r>
      <w:r w:rsidRPr="006C6393">
        <w:rPr>
          <w:b/>
          <w:i/>
        </w:rPr>
        <w:t xml:space="preserve"> rovn</w:t>
      </w:r>
      <w:r w:rsidRPr="006C6393">
        <w:rPr>
          <w:rFonts w:hint="eastAsia"/>
          <w:b/>
          <w:i/>
        </w:rPr>
        <w:t>ěž</w:t>
      </w:r>
      <w:r w:rsidRPr="006C6393">
        <w:rPr>
          <w:b/>
          <w:i/>
        </w:rPr>
        <w:t xml:space="preserve"> mimo</w:t>
      </w:r>
      <w:r w:rsidRPr="006C6393">
        <w:rPr>
          <w:rFonts w:hint="eastAsia"/>
          <w:b/>
          <w:i/>
        </w:rPr>
        <w:t>řá</w:t>
      </w:r>
      <w:r w:rsidRPr="006C6393">
        <w:rPr>
          <w:b/>
          <w:i/>
        </w:rPr>
        <w:t>dn</w:t>
      </w:r>
      <w:r w:rsidRPr="006C6393">
        <w:rPr>
          <w:rFonts w:hint="eastAsia"/>
          <w:b/>
          <w:i/>
        </w:rPr>
        <w:t>ě</w:t>
      </w:r>
      <w:r w:rsidRPr="006C6393">
        <w:rPr>
          <w:b/>
          <w:i/>
        </w:rPr>
        <w:t xml:space="preserve"> nadaných.</w:t>
      </w:r>
      <w:r>
        <w:t>“</w:t>
      </w:r>
    </w:p>
    <w:p w:rsidR="00EA57BF" w:rsidRPr="006412A8" w:rsidRDefault="006412A8" w:rsidP="00F51A04">
      <w:pPr>
        <w:pStyle w:val="Bezmezer"/>
        <w:rPr>
          <w:u w:val="single"/>
        </w:rPr>
      </w:pPr>
      <w:r>
        <w:rPr>
          <w:u w:val="single"/>
        </w:rPr>
        <w:t>P</w:t>
      </w:r>
      <w:r w:rsidR="00EA57BF" w:rsidRPr="006412A8">
        <w:rPr>
          <w:u w:val="single"/>
        </w:rPr>
        <w:t>odporovat kvalitní výuku a u</w:t>
      </w:r>
      <w:r w:rsidR="00EA57BF" w:rsidRPr="006412A8">
        <w:rPr>
          <w:rFonts w:hint="eastAsia"/>
          <w:u w:val="single"/>
        </w:rPr>
        <w:t>č</w:t>
      </w:r>
      <w:r w:rsidR="00EA57BF" w:rsidRPr="006412A8">
        <w:rPr>
          <w:u w:val="single"/>
        </w:rPr>
        <w:t>itele jako její klí</w:t>
      </w:r>
      <w:r w:rsidR="00EA57BF" w:rsidRPr="006412A8">
        <w:rPr>
          <w:rFonts w:hint="eastAsia"/>
          <w:u w:val="single"/>
        </w:rPr>
        <w:t>č</w:t>
      </w:r>
      <w:r w:rsidR="00EA57BF" w:rsidRPr="006412A8">
        <w:rPr>
          <w:u w:val="single"/>
        </w:rPr>
        <w:t>ový p</w:t>
      </w:r>
      <w:r w:rsidR="00EA57BF" w:rsidRPr="006412A8">
        <w:rPr>
          <w:rFonts w:hint="eastAsia"/>
          <w:u w:val="single"/>
        </w:rPr>
        <w:t>ř</w:t>
      </w:r>
      <w:r w:rsidR="00EA57BF" w:rsidRPr="006412A8">
        <w:rPr>
          <w:u w:val="single"/>
        </w:rPr>
        <w:t>edpoklad</w:t>
      </w:r>
    </w:p>
    <w:p w:rsidR="00F51A04" w:rsidRDefault="00EA57BF" w:rsidP="00F51A04">
      <w:pPr>
        <w:pStyle w:val="Bezmezer"/>
      </w:pPr>
      <w:r>
        <w:t>„</w:t>
      </w:r>
      <w:r w:rsidRPr="006C6393">
        <w:rPr>
          <w:i/>
        </w:rPr>
        <w:t>Spole</w:t>
      </w:r>
      <w:r w:rsidRPr="006C6393">
        <w:rPr>
          <w:rFonts w:hint="eastAsia"/>
          <w:i/>
        </w:rPr>
        <w:t>č</w:t>
      </w:r>
      <w:r w:rsidRPr="006C6393">
        <w:rPr>
          <w:i/>
        </w:rPr>
        <w:t>nou charakteristikou vzd</w:t>
      </w:r>
      <w:r w:rsidRPr="006C6393">
        <w:rPr>
          <w:rFonts w:hint="eastAsia"/>
          <w:i/>
        </w:rPr>
        <w:t>ě</w:t>
      </w:r>
      <w:r w:rsidRPr="006C6393">
        <w:rPr>
          <w:i/>
        </w:rPr>
        <w:t>lávacích systém</w:t>
      </w:r>
      <w:r w:rsidRPr="006C6393">
        <w:rPr>
          <w:rFonts w:hint="eastAsia"/>
          <w:i/>
        </w:rPr>
        <w:t>ů</w:t>
      </w:r>
      <w:r w:rsidRPr="006C6393">
        <w:rPr>
          <w:i/>
        </w:rPr>
        <w:t xml:space="preserve"> obecn</w:t>
      </w:r>
      <w:r w:rsidRPr="006C6393">
        <w:rPr>
          <w:rFonts w:hint="eastAsia"/>
          <w:i/>
        </w:rPr>
        <w:t>ě</w:t>
      </w:r>
      <w:r w:rsidRPr="006C6393">
        <w:rPr>
          <w:i/>
        </w:rPr>
        <w:t xml:space="preserve"> považovaných za úsp</w:t>
      </w:r>
      <w:r w:rsidRPr="006C6393">
        <w:rPr>
          <w:rFonts w:hint="eastAsia"/>
          <w:i/>
        </w:rPr>
        <w:t>ěš</w:t>
      </w:r>
      <w:r w:rsidRPr="006C6393">
        <w:rPr>
          <w:i/>
        </w:rPr>
        <w:t xml:space="preserve">né je </w:t>
      </w:r>
      <w:r w:rsidRPr="006C6393">
        <w:rPr>
          <w:b/>
          <w:i/>
        </w:rPr>
        <w:t>významná pozornost v</w:t>
      </w:r>
      <w:r w:rsidRPr="006C6393">
        <w:rPr>
          <w:rFonts w:hint="eastAsia"/>
          <w:b/>
          <w:i/>
        </w:rPr>
        <w:t>ě</w:t>
      </w:r>
      <w:r w:rsidRPr="006C6393">
        <w:rPr>
          <w:b/>
          <w:i/>
        </w:rPr>
        <w:t>novaná výb</w:t>
      </w:r>
      <w:r w:rsidRPr="006C6393">
        <w:rPr>
          <w:rFonts w:hint="eastAsia"/>
          <w:b/>
          <w:i/>
        </w:rPr>
        <w:t>ě</w:t>
      </w:r>
      <w:r w:rsidRPr="006C6393">
        <w:rPr>
          <w:b/>
          <w:i/>
        </w:rPr>
        <w:t>ru, po</w:t>
      </w:r>
      <w:r w:rsidRPr="006C6393">
        <w:rPr>
          <w:rFonts w:hint="eastAsia"/>
          <w:b/>
          <w:i/>
        </w:rPr>
        <w:t>čá</w:t>
      </w:r>
      <w:r w:rsidRPr="006C6393">
        <w:rPr>
          <w:b/>
          <w:i/>
        </w:rPr>
        <w:t>te</w:t>
      </w:r>
      <w:r w:rsidRPr="006C6393">
        <w:rPr>
          <w:rFonts w:hint="eastAsia"/>
          <w:b/>
          <w:i/>
        </w:rPr>
        <w:t>č</w:t>
      </w:r>
      <w:r w:rsidRPr="006C6393">
        <w:rPr>
          <w:b/>
          <w:i/>
        </w:rPr>
        <w:t>ní p</w:t>
      </w:r>
      <w:r w:rsidRPr="006C6393">
        <w:rPr>
          <w:rFonts w:hint="eastAsia"/>
          <w:b/>
          <w:i/>
        </w:rPr>
        <w:t>ří</w:t>
      </w:r>
      <w:r w:rsidRPr="006C6393">
        <w:rPr>
          <w:b/>
          <w:i/>
        </w:rPr>
        <w:t>prav</w:t>
      </w:r>
      <w:r w:rsidRPr="006C6393">
        <w:rPr>
          <w:rFonts w:hint="eastAsia"/>
          <w:b/>
          <w:i/>
        </w:rPr>
        <w:t>ě</w:t>
      </w:r>
      <w:r w:rsidRPr="006C6393">
        <w:rPr>
          <w:b/>
          <w:i/>
        </w:rPr>
        <w:t xml:space="preserve"> a pr</w:t>
      </w:r>
      <w:r w:rsidRPr="006C6393">
        <w:rPr>
          <w:rFonts w:hint="eastAsia"/>
          <w:b/>
          <w:i/>
        </w:rPr>
        <w:t>ů</w:t>
      </w:r>
      <w:r w:rsidRPr="006C6393">
        <w:rPr>
          <w:b/>
          <w:i/>
        </w:rPr>
        <w:t>b</w:t>
      </w:r>
      <w:r w:rsidRPr="006C6393">
        <w:rPr>
          <w:rFonts w:hint="eastAsia"/>
          <w:b/>
          <w:i/>
        </w:rPr>
        <w:t>ěž</w:t>
      </w:r>
      <w:r w:rsidRPr="006C6393">
        <w:rPr>
          <w:b/>
          <w:i/>
        </w:rPr>
        <w:t>né profesní podpo</w:t>
      </w:r>
      <w:r w:rsidRPr="006C6393">
        <w:rPr>
          <w:rFonts w:hint="eastAsia"/>
          <w:b/>
          <w:i/>
        </w:rPr>
        <w:t>ř</w:t>
      </w:r>
      <w:r w:rsidRPr="006C6393">
        <w:rPr>
          <w:b/>
          <w:i/>
        </w:rPr>
        <w:t>e u</w:t>
      </w:r>
      <w:r w:rsidRPr="006C6393">
        <w:rPr>
          <w:rFonts w:hint="eastAsia"/>
          <w:b/>
          <w:i/>
        </w:rPr>
        <w:t>č</w:t>
      </w:r>
      <w:r w:rsidRPr="006C6393">
        <w:rPr>
          <w:b/>
          <w:i/>
        </w:rPr>
        <w:t>itel</w:t>
      </w:r>
      <w:r w:rsidRPr="006C6393">
        <w:rPr>
          <w:rFonts w:hint="eastAsia"/>
          <w:b/>
          <w:i/>
        </w:rPr>
        <w:t>ů</w:t>
      </w:r>
      <w:r w:rsidRPr="006C6393">
        <w:rPr>
          <w:i/>
        </w:rPr>
        <w:t xml:space="preserve">. </w:t>
      </w:r>
      <w:r w:rsidRPr="006C6393">
        <w:rPr>
          <w:rFonts w:hint="eastAsia"/>
          <w:i/>
        </w:rPr>
        <w:t>Ř</w:t>
      </w:r>
      <w:r w:rsidRPr="006C6393">
        <w:rPr>
          <w:i/>
        </w:rPr>
        <w:t>ada studií zárove</w:t>
      </w:r>
      <w:r w:rsidRPr="006C6393">
        <w:rPr>
          <w:rFonts w:hint="eastAsia"/>
          <w:i/>
        </w:rPr>
        <w:t>ň</w:t>
      </w:r>
      <w:r w:rsidRPr="006C6393">
        <w:rPr>
          <w:i/>
        </w:rPr>
        <w:t xml:space="preserve"> ukazuje, že vedle kvality u</w:t>
      </w:r>
      <w:r w:rsidRPr="006C6393">
        <w:rPr>
          <w:rFonts w:hint="eastAsia"/>
          <w:i/>
        </w:rPr>
        <w:t>č</w:t>
      </w:r>
      <w:r w:rsidRPr="006C6393">
        <w:rPr>
          <w:i/>
        </w:rPr>
        <w:t>itele je také jeho prestiž a postavení ve spole</w:t>
      </w:r>
      <w:r w:rsidRPr="006C6393">
        <w:rPr>
          <w:rFonts w:hint="eastAsia"/>
          <w:i/>
        </w:rPr>
        <w:t>č</w:t>
      </w:r>
      <w:r w:rsidRPr="006C6393">
        <w:rPr>
          <w:i/>
        </w:rPr>
        <w:t>nosti tím, co ur</w:t>
      </w:r>
      <w:r w:rsidRPr="006C6393">
        <w:rPr>
          <w:rFonts w:hint="eastAsia"/>
          <w:i/>
        </w:rPr>
        <w:t>č</w:t>
      </w:r>
      <w:r w:rsidRPr="006C6393">
        <w:rPr>
          <w:i/>
        </w:rPr>
        <w:t xml:space="preserve">uje a formuje jeho vliv na žáky a studenty a na jejich výsledky. </w:t>
      </w:r>
      <w:r w:rsidRPr="006C6393">
        <w:rPr>
          <w:b/>
          <w:i/>
        </w:rPr>
        <w:t>Školský systém</w:t>
      </w:r>
      <w:r w:rsidRPr="006C6393">
        <w:rPr>
          <w:i/>
        </w:rPr>
        <w:t xml:space="preserve"> v </w:t>
      </w:r>
      <w:r w:rsidRPr="006C6393">
        <w:rPr>
          <w:rFonts w:hint="eastAsia"/>
          <w:i/>
        </w:rPr>
        <w:t>Č</w:t>
      </w:r>
      <w:r w:rsidRPr="006C6393">
        <w:rPr>
          <w:i/>
        </w:rPr>
        <w:t>eské republice se v oblasti vzd</w:t>
      </w:r>
      <w:r w:rsidRPr="006C6393">
        <w:rPr>
          <w:rFonts w:hint="eastAsia"/>
          <w:i/>
        </w:rPr>
        <w:t>ě</w:t>
      </w:r>
      <w:r w:rsidRPr="006C6393">
        <w:rPr>
          <w:i/>
        </w:rPr>
        <w:t>lávání, zam</w:t>
      </w:r>
      <w:r w:rsidRPr="006C6393">
        <w:rPr>
          <w:rFonts w:hint="eastAsia"/>
          <w:i/>
        </w:rPr>
        <w:t>ě</w:t>
      </w:r>
      <w:r w:rsidRPr="006C6393">
        <w:rPr>
          <w:i/>
        </w:rPr>
        <w:t>stnávání a dalšího rozvoje u</w:t>
      </w:r>
      <w:r w:rsidRPr="006C6393">
        <w:rPr>
          <w:rFonts w:hint="eastAsia"/>
          <w:i/>
        </w:rPr>
        <w:t>č</w:t>
      </w:r>
      <w:r w:rsidRPr="006C6393">
        <w:rPr>
          <w:i/>
        </w:rPr>
        <w:t>itel</w:t>
      </w:r>
      <w:r w:rsidRPr="006C6393">
        <w:rPr>
          <w:rFonts w:hint="eastAsia"/>
          <w:i/>
        </w:rPr>
        <w:t>ů</w:t>
      </w:r>
      <w:r w:rsidRPr="006C6393">
        <w:rPr>
          <w:i/>
        </w:rPr>
        <w:t xml:space="preserve"> </w:t>
      </w:r>
      <w:r w:rsidRPr="006C6393">
        <w:rPr>
          <w:b/>
          <w:i/>
        </w:rPr>
        <w:t xml:space="preserve">potýká s </w:t>
      </w:r>
      <w:r w:rsidRPr="006C6393">
        <w:rPr>
          <w:rFonts w:hint="eastAsia"/>
          <w:b/>
          <w:i/>
        </w:rPr>
        <w:t>ř</w:t>
      </w:r>
      <w:r w:rsidRPr="006C6393">
        <w:rPr>
          <w:b/>
          <w:i/>
        </w:rPr>
        <w:t>adou vážných problém</w:t>
      </w:r>
      <w:r w:rsidRPr="006C6393">
        <w:rPr>
          <w:rFonts w:hint="eastAsia"/>
          <w:b/>
          <w:i/>
        </w:rPr>
        <w:t>ů</w:t>
      </w:r>
      <w:r w:rsidRPr="006C6393">
        <w:rPr>
          <w:i/>
        </w:rPr>
        <w:t xml:space="preserve">. Jedním z nich je </w:t>
      </w:r>
      <w:r w:rsidRPr="006C6393">
        <w:rPr>
          <w:b/>
          <w:i/>
        </w:rPr>
        <w:t>nízká atraktivita u</w:t>
      </w:r>
      <w:r w:rsidRPr="006C6393">
        <w:rPr>
          <w:rFonts w:hint="eastAsia"/>
          <w:b/>
          <w:i/>
        </w:rPr>
        <w:t>č</w:t>
      </w:r>
      <w:r w:rsidRPr="006C6393">
        <w:rPr>
          <w:b/>
          <w:i/>
        </w:rPr>
        <w:t>itelské profese</w:t>
      </w:r>
      <w:r w:rsidRPr="006C6393">
        <w:rPr>
          <w:i/>
        </w:rPr>
        <w:t xml:space="preserve"> v regionálním školství, zap</w:t>
      </w:r>
      <w:r w:rsidRPr="006C6393">
        <w:rPr>
          <w:rFonts w:hint="eastAsia"/>
          <w:i/>
        </w:rPr>
        <w:t>říč</w:t>
      </w:r>
      <w:r w:rsidRPr="006C6393">
        <w:rPr>
          <w:i/>
        </w:rPr>
        <w:t>in</w:t>
      </w:r>
      <w:r w:rsidRPr="006C6393">
        <w:rPr>
          <w:rFonts w:hint="eastAsia"/>
          <w:i/>
        </w:rPr>
        <w:t>ě</w:t>
      </w:r>
      <w:r w:rsidRPr="006C6393">
        <w:rPr>
          <w:i/>
        </w:rPr>
        <w:t>ná nejen pom</w:t>
      </w:r>
      <w:r w:rsidRPr="006C6393">
        <w:rPr>
          <w:rFonts w:hint="eastAsia"/>
          <w:i/>
        </w:rPr>
        <w:t>ě</w:t>
      </w:r>
      <w:r w:rsidRPr="006C6393">
        <w:rPr>
          <w:i/>
        </w:rPr>
        <w:t>rn</w:t>
      </w:r>
      <w:r w:rsidRPr="006C6393">
        <w:rPr>
          <w:rFonts w:hint="eastAsia"/>
          <w:i/>
        </w:rPr>
        <w:t>ě</w:t>
      </w:r>
      <w:r w:rsidRPr="006C6393">
        <w:rPr>
          <w:i/>
        </w:rPr>
        <w:t xml:space="preserve"> </w:t>
      </w:r>
      <w:r w:rsidRPr="006C6393">
        <w:rPr>
          <w:b/>
          <w:i/>
        </w:rPr>
        <w:t>nízkými pr</w:t>
      </w:r>
      <w:r w:rsidRPr="006C6393">
        <w:rPr>
          <w:rFonts w:hint="eastAsia"/>
          <w:b/>
          <w:i/>
        </w:rPr>
        <w:t>ů</w:t>
      </w:r>
      <w:r w:rsidRPr="006C6393">
        <w:rPr>
          <w:b/>
          <w:i/>
        </w:rPr>
        <w:t>m</w:t>
      </w:r>
      <w:r w:rsidRPr="006C6393">
        <w:rPr>
          <w:rFonts w:hint="eastAsia"/>
          <w:b/>
          <w:i/>
        </w:rPr>
        <w:t>ě</w:t>
      </w:r>
      <w:r w:rsidRPr="006C6393">
        <w:rPr>
          <w:b/>
          <w:i/>
        </w:rPr>
        <w:t>rnými platy</w:t>
      </w:r>
      <w:r w:rsidRPr="006C6393">
        <w:rPr>
          <w:i/>
        </w:rPr>
        <w:t xml:space="preserve"> (a to nejen v mezinárodním kontextu i ve srovnání s pr</w:t>
      </w:r>
      <w:r w:rsidRPr="006C6393">
        <w:rPr>
          <w:rFonts w:hint="eastAsia"/>
          <w:i/>
        </w:rPr>
        <w:t>ů</w:t>
      </w:r>
      <w:r w:rsidRPr="006C6393">
        <w:rPr>
          <w:i/>
        </w:rPr>
        <w:t>m</w:t>
      </w:r>
      <w:r w:rsidRPr="006C6393">
        <w:rPr>
          <w:rFonts w:hint="eastAsia"/>
          <w:i/>
        </w:rPr>
        <w:t>ě</w:t>
      </w:r>
      <w:r w:rsidRPr="006C6393">
        <w:rPr>
          <w:i/>
        </w:rPr>
        <w:t>rem vysokoškolsky vzd</w:t>
      </w:r>
      <w:r w:rsidRPr="006C6393">
        <w:rPr>
          <w:rFonts w:hint="eastAsia"/>
          <w:i/>
        </w:rPr>
        <w:t>ě</w:t>
      </w:r>
      <w:r w:rsidRPr="006C6393">
        <w:rPr>
          <w:i/>
        </w:rPr>
        <w:t xml:space="preserve">lané populace v </w:t>
      </w:r>
      <w:r w:rsidRPr="006C6393">
        <w:rPr>
          <w:rFonts w:hint="eastAsia"/>
          <w:i/>
        </w:rPr>
        <w:t>Č</w:t>
      </w:r>
      <w:r w:rsidRPr="006C6393">
        <w:rPr>
          <w:i/>
        </w:rPr>
        <w:t>R). Situaci komplikují rovn</w:t>
      </w:r>
      <w:r w:rsidRPr="006C6393">
        <w:rPr>
          <w:rFonts w:hint="eastAsia"/>
          <w:i/>
        </w:rPr>
        <w:t>ěž</w:t>
      </w:r>
      <w:r w:rsidRPr="006C6393">
        <w:rPr>
          <w:i/>
        </w:rPr>
        <w:t xml:space="preserve"> omezené možnosti kariérního postupu a rozší</w:t>
      </w:r>
      <w:r w:rsidRPr="006C6393">
        <w:rPr>
          <w:rFonts w:hint="eastAsia"/>
          <w:i/>
        </w:rPr>
        <w:t>ř</w:t>
      </w:r>
      <w:r w:rsidRPr="006C6393">
        <w:rPr>
          <w:i/>
        </w:rPr>
        <w:t>ené p</w:t>
      </w:r>
      <w:r w:rsidRPr="006C6393">
        <w:rPr>
          <w:rFonts w:hint="eastAsia"/>
          <w:i/>
        </w:rPr>
        <w:t>ř</w:t>
      </w:r>
      <w:r w:rsidRPr="006C6393">
        <w:rPr>
          <w:i/>
        </w:rPr>
        <w:t>esv</w:t>
      </w:r>
      <w:r w:rsidRPr="006C6393">
        <w:rPr>
          <w:rFonts w:hint="eastAsia"/>
          <w:i/>
        </w:rPr>
        <w:t>ě</w:t>
      </w:r>
      <w:r w:rsidRPr="006C6393">
        <w:rPr>
          <w:i/>
        </w:rPr>
        <w:t>d</w:t>
      </w:r>
      <w:r w:rsidRPr="006C6393">
        <w:rPr>
          <w:rFonts w:hint="eastAsia"/>
          <w:i/>
        </w:rPr>
        <w:t>č</w:t>
      </w:r>
      <w:r w:rsidRPr="006C6393">
        <w:rPr>
          <w:i/>
        </w:rPr>
        <w:t>ení, že profese nenabízí dostate</w:t>
      </w:r>
      <w:r w:rsidRPr="006C6393">
        <w:rPr>
          <w:rFonts w:hint="eastAsia"/>
          <w:i/>
        </w:rPr>
        <w:t>č</w:t>
      </w:r>
      <w:r w:rsidRPr="006C6393">
        <w:rPr>
          <w:i/>
        </w:rPr>
        <w:t>né p</w:t>
      </w:r>
      <w:r w:rsidRPr="006C6393">
        <w:rPr>
          <w:rFonts w:hint="eastAsia"/>
          <w:i/>
        </w:rPr>
        <w:t>ří</w:t>
      </w:r>
      <w:r w:rsidRPr="006C6393">
        <w:rPr>
          <w:i/>
        </w:rPr>
        <w:t>ležitosti k seberealizaci a odpovídající spole</w:t>
      </w:r>
      <w:r w:rsidRPr="006C6393">
        <w:rPr>
          <w:rFonts w:hint="eastAsia"/>
          <w:i/>
        </w:rPr>
        <w:t>č</w:t>
      </w:r>
      <w:r w:rsidRPr="006C6393">
        <w:rPr>
          <w:i/>
        </w:rPr>
        <w:t>enské uznání.“… „Strategie vychází z p</w:t>
      </w:r>
      <w:r w:rsidRPr="006C6393">
        <w:rPr>
          <w:rFonts w:hint="eastAsia"/>
          <w:i/>
        </w:rPr>
        <w:t>ř</w:t>
      </w:r>
      <w:r w:rsidRPr="006C6393">
        <w:rPr>
          <w:i/>
        </w:rPr>
        <w:t>edpokladu, že pro zlepšování u</w:t>
      </w:r>
      <w:r w:rsidRPr="006C6393">
        <w:rPr>
          <w:rFonts w:hint="eastAsia"/>
          <w:i/>
        </w:rPr>
        <w:t>č</w:t>
      </w:r>
      <w:r w:rsidRPr="006C6393">
        <w:rPr>
          <w:i/>
        </w:rPr>
        <w:t xml:space="preserve">ení a každodenních výukových a </w:t>
      </w:r>
      <w:r w:rsidRPr="006C6393">
        <w:rPr>
          <w:rFonts w:hint="eastAsia"/>
          <w:i/>
        </w:rPr>
        <w:t>ří</w:t>
      </w:r>
      <w:r w:rsidRPr="006C6393">
        <w:rPr>
          <w:i/>
        </w:rPr>
        <w:t>dicích praktik ve škole je t</w:t>
      </w:r>
      <w:r w:rsidRPr="006C6393">
        <w:rPr>
          <w:rFonts w:hint="eastAsia"/>
          <w:i/>
        </w:rPr>
        <w:t>ř</w:t>
      </w:r>
      <w:r w:rsidRPr="006C6393">
        <w:rPr>
          <w:i/>
        </w:rPr>
        <w:t xml:space="preserve">eba </w:t>
      </w:r>
      <w:r w:rsidRPr="006C6393">
        <w:rPr>
          <w:b/>
          <w:i/>
        </w:rPr>
        <w:t>modernizovat po</w:t>
      </w:r>
      <w:r w:rsidRPr="006C6393">
        <w:rPr>
          <w:rFonts w:hint="eastAsia"/>
          <w:b/>
          <w:i/>
        </w:rPr>
        <w:t>čá</w:t>
      </w:r>
      <w:r w:rsidRPr="006C6393">
        <w:rPr>
          <w:b/>
          <w:i/>
        </w:rPr>
        <w:t>te</w:t>
      </w:r>
      <w:r w:rsidRPr="006C6393">
        <w:rPr>
          <w:rFonts w:hint="eastAsia"/>
          <w:b/>
          <w:i/>
        </w:rPr>
        <w:t>č</w:t>
      </w:r>
      <w:r w:rsidRPr="006C6393">
        <w:rPr>
          <w:b/>
          <w:i/>
        </w:rPr>
        <w:t>ní p</w:t>
      </w:r>
      <w:r w:rsidRPr="006C6393">
        <w:rPr>
          <w:rFonts w:hint="eastAsia"/>
          <w:b/>
          <w:i/>
        </w:rPr>
        <w:t>ří</w:t>
      </w:r>
      <w:r w:rsidRPr="006C6393">
        <w:rPr>
          <w:b/>
          <w:i/>
        </w:rPr>
        <w:t>pravu u</w:t>
      </w:r>
      <w:r w:rsidRPr="006C6393">
        <w:rPr>
          <w:rFonts w:hint="eastAsia"/>
          <w:b/>
          <w:i/>
        </w:rPr>
        <w:t>č</w:t>
      </w:r>
      <w:r w:rsidRPr="006C6393">
        <w:rPr>
          <w:b/>
          <w:i/>
        </w:rPr>
        <w:t>itel</w:t>
      </w:r>
      <w:r w:rsidRPr="006C6393">
        <w:rPr>
          <w:rFonts w:hint="eastAsia"/>
          <w:b/>
          <w:i/>
        </w:rPr>
        <w:t>ů</w:t>
      </w:r>
      <w:r w:rsidRPr="006C6393">
        <w:rPr>
          <w:i/>
        </w:rPr>
        <w:t xml:space="preserve"> a zárove</w:t>
      </w:r>
      <w:r w:rsidRPr="006C6393">
        <w:rPr>
          <w:rFonts w:hint="eastAsia"/>
          <w:i/>
        </w:rPr>
        <w:t>ň</w:t>
      </w:r>
      <w:r w:rsidRPr="006C6393">
        <w:rPr>
          <w:i/>
        </w:rPr>
        <w:t xml:space="preserve"> významn</w:t>
      </w:r>
      <w:r w:rsidRPr="006C6393">
        <w:rPr>
          <w:rFonts w:hint="eastAsia"/>
          <w:i/>
        </w:rPr>
        <w:t>ě</w:t>
      </w:r>
      <w:r w:rsidRPr="006C6393">
        <w:rPr>
          <w:i/>
        </w:rPr>
        <w:t xml:space="preserve"> </w:t>
      </w:r>
      <w:r w:rsidRPr="006C6393">
        <w:rPr>
          <w:b/>
          <w:i/>
        </w:rPr>
        <w:t>p</w:t>
      </w:r>
      <w:r w:rsidRPr="006C6393">
        <w:rPr>
          <w:rFonts w:hint="eastAsia"/>
          <w:b/>
          <w:i/>
        </w:rPr>
        <w:t>ř</w:t>
      </w:r>
      <w:r w:rsidRPr="006C6393">
        <w:rPr>
          <w:b/>
          <w:i/>
        </w:rPr>
        <w:t>isp</w:t>
      </w:r>
      <w:r w:rsidRPr="006C6393">
        <w:rPr>
          <w:rFonts w:hint="eastAsia"/>
          <w:b/>
          <w:i/>
        </w:rPr>
        <w:t>ě</w:t>
      </w:r>
      <w:r w:rsidRPr="006C6393">
        <w:rPr>
          <w:b/>
          <w:i/>
        </w:rPr>
        <w:t>t k soustavnému zlepšování jejich pedagogických dovedností</w:t>
      </w:r>
      <w:r w:rsidRPr="006C6393">
        <w:rPr>
          <w:i/>
        </w:rPr>
        <w:t xml:space="preserve"> a k dalšímu profesnímu rozvoji v pr</w:t>
      </w:r>
      <w:r w:rsidRPr="006C6393">
        <w:rPr>
          <w:rFonts w:hint="eastAsia"/>
          <w:i/>
        </w:rPr>
        <w:t>ů</w:t>
      </w:r>
      <w:r w:rsidRPr="006C6393">
        <w:rPr>
          <w:i/>
        </w:rPr>
        <w:t>b</w:t>
      </w:r>
      <w:r w:rsidRPr="006C6393">
        <w:rPr>
          <w:rFonts w:hint="eastAsia"/>
          <w:i/>
        </w:rPr>
        <w:t>ě</w:t>
      </w:r>
      <w:r w:rsidRPr="006C6393">
        <w:rPr>
          <w:i/>
        </w:rPr>
        <w:t>hu kariéry.</w:t>
      </w:r>
      <w:r>
        <w:t>“</w:t>
      </w:r>
    </w:p>
    <w:p w:rsidR="00F2686D" w:rsidRPr="00F2686D" w:rsidRDefault="00F2686D" w:rsidP="00F2686D">
      <w:pPr>
        <w:pStyle w:val="Nadpis3"/>
      </w:pPr>
      <w:bookmarkStart w:id="28" w:name="_Toc465592575"/>
      <w:r w:rsidRPr="00F2686D">
        <w:t>Dlouhodobý zám</w:t>
      </w:r>
      <w:r w:rsidRPr="00F2686D">
        <w:rPr>
          <w:rFonts w:hint="eastAsia"/>
        </w:rPr>
        <w:t>ě</w:t>
      </w:r>
      <w:r w:rsidRPr="00F2686D">
        <w:t>r vzd</w:t>
      </w:r>
      <w:r w:rsidRPr="00F2686D">
        <w:rPr>
          <w:rFonts w:hint="eastAsia"/>
        </w:rPr>
        <w:t>ě</w:t>
      </w:r>
      <w:r w:rsidRPr="00F2686D">
        <w:t>lávání a rozvoje vzd</w:t>
      </w:r>
      <w:r w:rsidRPr="00F2686D">
        <w:rPr>
          <w:rFonts w:hint="eastAsia"/>
        </w:rPr>
        <w:t>ě</w:t>
      </w:r>
      <w:r w:rsidRPr="00F2686D">
        <w:t>lávací soustavy ve St</w:t>
      </w:r>
      <w:r w:rsidRPr="00F2686D">
        <w:rPr>
          <w:rFonts w:hint="eastAsia"/>
        </w:rPr>
        <w:t>ř</w:t>
      </w:r>
      <w:r w:rsidRPr="00F2686D">
        <w:t>edo</w:t>
      </w:r>
      <w:r w:rsidRPr="00F2686D">
        <w:rPr>
          <w:rFonts w:hint="eastAsia"/>
        </w:rPr>
        <w:t>č</w:t>
      </w:r>
      <w:r w:rsidRPr="00F2686D">
        <w:t>eském kraji 2016 - 2020</w:t>
      </w:r>
      <w:bookmarkEnd w:id="28"/>
      <w:r w:rsidRPr="00F2686D">
        <w:t xml:space="preserve"> </w:t>
      </w:r>
    </w:p>
    <w:p w:rsidR="006C6393" w:rsidRDefault="00F2686D" w:rsidP="006C6393">
      <w:pPr>
        <w:pStyle w:val="Bezmezer"/>
      </w:pPr>
      <w:r>
        <w:t>Na krajské úrovni se jedná o rozhodující koncepční dokument</w:t>
      </w:r>
      <w:r w:rsidR="001006B8">
        <w:t>, který přímo vychází z výše načrtnuté S</w:t>
      </w:r>
      <w:r w:rsidR="001006B8" w:rsidRPr="001006B8">
        <w:t>trategie vzdělávací politiky české republiky do roku 2020</w:t>
      </w:r>
      <w:r w:rsidR="001006B8">
        <w:t xml:space="preserve">. </w:t>
      </w:r>
      <w:r w:rsidR="006C6393" w:rsidRPr="006C6393">
        <w:t>Je v pořadí ji</w:t>
      </w:r>
      <w:r w:rsidR="006C6393">
        <w:t>ž</w:t>
      </w:r>
      <w:r w:rsidR="006C6393" w:rsidRPr="006C6393">
        <w:t xml:space="preserve"> pátým </w:t>
      </w:r>
      <w:r w:rsidR="006C6393" w:rsidRPr="006C6393">
        <w:lastRenderedPageBreak/>
        <w:t>koncepčním a zároveň strategickým dokumentem, který definuje potřeby, záměry a cíle vzděláva</w:t>
      </w:r>
      <w:r w:rsidR="006C6393">
        <w:t xml:space="preserve">cí politiky Středočeského kraje. </w:t>
      </w:r>
    </w:p>
    <w:p w:rsidR="006C6393" w:rsidRDefault="006C6393" w:rsidP="006C6393">
      <w:pPr>
        <w:pStyle w:val="Bezmezer"/>
      </w:pPr>
      <w:r>
        <w:t>Tento dokument mimo jiné poznamenává v kapitole předškolního vzdělávání: „</w:t>
      </w:r>
      <w:r w:rsidRPr="005C0DC0">
        <w:rPr>
          <w:b/>
          <w:bCs/>
          <w:i/>
        </w:rPr>
        <w:t xml:space="preserve">Podpora vzniku nových mateřských škol a navyšování jejich stávající kapacity </w:t>
      </w:r>
      <w:r w:rsidRPr="005C0DC0">
        <w:rPr>
          <w:bCs/>
          <w:i/>
        </w:rPr>
        <w:t>i v dalších letech je jednoznačnou prioritou a významným prvkem politiky Středočeského kraje v oblasti vzdělávání.</w:t>
      </w:r>
      <w:r>
        <w:t>“ Dokument dále zmiňuje hlavní úkoly v oblasti předškolního vzdělávání na období 2016 – 2020:</w:t>
      </w:r>
    </w:p>
    <w:p w:rsidR="006C6393" w:rsidRPr="0069131F" w:rsidRDefault="006C6393" w:rsidP="0069131F">
      <w:pPr>
        <w:pStyle w:val="Bezmezer"/>
        <w:numPr>
          <w:ilvl w:val="0"/>
          <w:numId w:val="40"/>
        </w:numPr>
        <w:ind w:hanging="294"/>
      </w:pPr>
      <w:r w:rsidRPr="0069131F">
        <w:t>P</w:t>
      </w:r>
      <w:r w:rsidRPr="0069131F">
        <w:rPr>
          <w:rFonts w:hint="eastAsia"/>
        </w:rPr>
        <w:t>ř</w:t>
      </w:r>
      <w:r w:rsidRPr="0069131F">
        <w:t xml:space="preserve">ipravit se na </w:t>
      </w:r>
      <w:r w:rsidRPr="0069131F">
        <w:rPr>
          <w:b/>
        </w:rPr>
        <w:t>zavedení povinného posledního ro</w:t>
      </w:r>
      <w:r w:rsidRPr="0069131F">
        <w:rPr>
          <w:rFonts w:hint="eastAsia"/>
          <w:b/>
        </w:rPr>
        <w:t>č</w:t>
      </w:r>
      <w:r w:rsidRPr="0069131F">
        <w:rPr>
          <w:b/>
        </w:rPr>
        <w:t>níku p</w:t>
      </w:r>
      <w:r w:rsidRPr="0069131F">
        <w:rPr>
          <w:rFonts w:hint="eastAsia"/>
          <w:b/>
        </w:rPr>
        <w:t>ř</w:t>
      </w:r>
      <w:r w:rsidRPr="0069131F">
        <w:rPr>
          <w:b/>
        </w:rPr>
        <w:t>edškolního vzd</w:t>
      </w:r>
      <w:r w:rsidRPr="0069131F">
        <w:rPr>
          <w:rFonts w:hint="eastAsia"/>
          <w:b/>
        </w:rPr>
        <w:t>ě</w:t>
      </w:r>
      <w:r w:rsidRPr="0069131F">
        <w:rPr>
          <w:b/>
        </w:rPr>
        <w:t>lávání</w:t>
      </w:r>
      <w:r w:rsidRPr="0069131F">
        <w:t xml:space="preserve"> zejména p</w:t>
      </w:r>
      <w:r w:rsidRPr="0069131F">
        <w:rPr>
          <w:rFonts w:hint="eastAsia"/>
        </w:rPr>
        <w:t>ř</w:t>
      </w:r>
      <w:r w:rsidRPr="0069131F">
        <w:t>i za</w:t>
      </w:r>
      <w:r w:rsidRPr="0069131F">
        <w:rPr>
          <w:rFonts w:hint="eastAsia"/>
        </w:rPr>
        <w:t>č</w:t>
      </w:r>
      <w:r w:rsidRPr="0069131F">
        <w:t>le</w:t>
      </w:r>
      <w:r w:rsidRPr="0069131F">
        <w:rPr>
          <w:rFonts w:hint="eastAsia"/>
        </w:rPr>
        <w:t>ň</w:t>
      </w:r>
      <w:r w:rsidRPr="0069131F">
        <w:t>ování d</w:t>
      </w:r>
      <w:r w:rsidRPr="0069131F">
        <w:rPr>
          <w:rFonts w:hint="eastAsia"/>
        </w:rPr>
        <w:t>ě</w:t>
      </w:r>
      <w:r w:rsidRPr="0069131F">
        <w:t>tí ze znevýhodn</w:t>
      </w:r>
      <w:r w:rsidRPr="0069131F">
        <w:rPr>
          <w:rFonts w:hint="eastAsia"/>
        </w:rPr>
        <w:t>ě</w:t>
      </w:r>
      <w:r w:rsidRPr="0069131F">
        <w:t>ných skupin a etnických menšin, a tím p</w:t>
      </w:r>
      <w:r w:rsidRPr="0069131F">
        <w:rPr>
          <w:rFonts w:hint="eastAsia"/>
        </w:rPr>
        <w:t>ř</w:t>
      </w:r>
      <w:r w:rsidRPr="0069131F">
        <w:t>isp</w:t>
      </w:r>
      <w:r w:rsidRPr="0069131F">
        <w:rPr>
          <w:rFonts w:hint="eastAsia"/>
        </w:rPr>
        <w:t>ě</w:t>
      </w:r>
      <w:r w:rsidRPr="0069131F">
        <w:t>t k vytvo</w:t>
      </w:r>
      <w:r w:rsidRPr="0069131F">
        <w:rPr>
          <w:rFonts w:hint="eastAsia"/>
        </w:rPr>
        <w:t>ř</w:t>
      </w:r>
      <w:r w:rsidRPr="0069131F">
        <w:t>ení dostate</w:t>
      </w:r>
      <w:r w:rsidRPr="0069131F">
        <w:rPr>
          <w:rFonts w:hint="eastAsia"/>
        </w:rPr>
        <w:t>č</w:t>
      </w:r>
      <w:r w:rsidR="005C0DC0" w:rsidRPr="0069131F">
        <w:t>né kapacity volných míst</w:t>
      </w:r>
    </w:p>
    <w:p w:rsidR="006C6393" w:rsidRPr="0069131F" w:rsidRDefault="006C6393" w:rsidP="0069131F">
      <w:pPr>
        <w:pStyle w:val="Bezmezer"/>
        <w:numPr>
          <w:ilvl w:val="0"/>
          <w:numId w:val="40"/>
        </w:numPr>
        <w:ind w:hanging="294"/>
      </w:pPr>
      <w:r w:rsidRPr="0069131F">
        <w:t>Podpo</w:t>
      </w:r>
      <w:r w:rsidRPr="0069131F">
        <w:rPr>
          <w:rFonts w:hint="eastAsia"/>
        </w:rPr>
        <w:t>ř</w:t>
      </w:r>
      <w:r w:rsidRPr="0069131F">
        <w:t>it kvalitu p</w:t>
      </w:r>
      <w:r w:rsidRPr="0069131F">
        <w:rPr>
          <w:rFonts w:hint="eastAsia"/>
        </w:rPr>
        <w:t>ř</w:t>
      </w:r>
      <w:r w:rsidRPr="0069131F">
        <w:t>edškolního vzd</w:t>
      </w:r>
      <w:r w:rsidRPr="0069131F">
        <w:rPr>
          <w:rFonts w:hint="eastAsia"/>
        </w:rPr>
        <w:t>ě</w:t>
      </w:r>
      <w:r w:rsidRPr="0069131F">
        <w:t>lávání a zam</w:t>
      </w:r>
      <w:r w:rsidRPr="0069131F">
        <w:rPr>
          <w:rFonts w:hint="eastAsia"/>
        </w:rPr>
        <w:t>ěř</w:t>
      </w:r>
      <w:r w:rsidRPr="0069131F">
        <w:t xml:space="preserve">it se na </w:t>
      </w:r>
      <w:r w:rsidRPr="0069131F">
        <w:rPr>
          <w:b/>
        </w:rPr>
        <w:t>manuální zru</w:t>
      </w:r>
      <w:r w:rsidRPr="0069131F">
        <w:rPr>
          <w:rFonts w:hint="eastAsia"/>
          <w:b/>
        </w:rPr>
        <w:t>č</w:t>
      </w:r>
      <w:r w:rsidRPr="0069131F">
        <w:rPr>
          <w:b/>
        </w:rPr>
        <w:t>nost a polytechnický rozvoj osobnosti</w:t>
      </w:r>
      <w:r w:rsidR="0069131F">
        <w:t>“</w:t>
      </w:r>
    </w:p>
    <w:p w:rsidR="006C6393" w:rsidRPr="0069131F" w:rsidRDefault="006C6393" w:rsidP="0069131F">
      <w:pPr>
        <w:pStyle w:val="Bezmezer"/>
        <w:numPr>
          <w:ilvl w:val="0"/>
          <w:numId w:val="40"/>
        </w:numPr>
        <w:ind w:hanging="294"/>
      </w:pPr>
      <w:r w:rsidRPr="0069131F">
        <w:t>Podpo</w:t>
      </w:r>
      <w:r w:rsidRPr="0069131F">
        <w:rPr>
          <w:rFonts w:hint="eastAsia"/>
        </w:rPr>
        <w:t>ř</w:t>
      </w:r>
      <w:r w:rsidRPr="0069131F">
        <w:t>it p</w:t>
      </w:r>
      <w:r w:rsidRPr="0069131F">
        <w:rPr>
          <w:rFonts w:hint="eastAsia"/>
        </w:rPr>
        <w:t>ř</w:t>
      </w:r>
      <w:r w:rsidRPr="0069131F">
        <w:t>edškolní výchovu d</w:t>
      </w:r>
      <w:r w:rsidRPr="0069131F">
        <w:rPr>
          <w:rFonts w:hint="eastAsia"/>
        </w:rPr>
        <w:t>ě</w:t>
      </w:r>
      <w:r w:rsidRPr="0069131F">
        <w:t>tí, zam</w:t>
      </w:r>
      <w:r w:rsidRPr="0069131F">
        <w:rPr>
          <w:rFonts w:hint="eastAsia"/>
        </w:rPr>
        <w:t>ěř</w:t>
      </w:r>
      <w:r w:rsidRPr="0069131F">
        <w:t xml:space="preserve">it se na </w:t>
      </w:r>
      <w:r w:rsidRPr="0069131F">
        <w:rPr>
          <w:b/>
        </w:rPr>
        <w:t xml:space="preserve">rozvoj </w:t>
      </w:r>
      <w:r w:rsidRPr="0069131F">
        <w:rPr>
          <w:rFonts w:hint="eastAsia"/>
          <w:b/>
        </w:rPr>
        <w:t>ř</w:t>
      </w:r>
      <w:r w:rsidRPr="0069131F">
        <w:rPr>
          <w:b/>
        </w:rPr>
        <w:t>e</w:t>
      </w:r>
      <w:r w:rsidRPr="0069131F">
        <w:rPr>
          <w:rFonts w:hint="eastAsia"/>
          <w:b/>
        </w:rPr>
        <w:t>č</w:t>
      </w:r>
      <w:r w:rsidRPr="0069131F">
        <w:rPr>
          <w:b/>
        </w:rPr>
        <w:t>i</w:t>
      </w:r>
      <w:r w:rsidRPr="0069131F">
        <w:t xml:space="preserve"> a vytvá</w:t>
      </w:r>
      <w:r w:rsidRPr="0069131F">
        <w:rPr>
          <w:rFonts w:hint="eastAsia"/>
        </w:rPr>
        <w:t>ř</w:t>
      </w:r>
      <w:r w:rsidRPr="0069131F">
        <w:t>et logopedické t</w:t>
      </w:r>
      <w:r w:rsidRPr="0069131F">
        <w:rPr>
          <w:rFonts w:hint="eastAsia"/>
        </w:rPr>
        <w:t>ří</w:t>
      </w:r>
      <w:r w:rsidRPr="0069131F">
        <w:t>dy v organizacích, které z</w:t>
      </w:r>
      <w:r w:rsidRPr="0069131F">
        <w:rPr>
          <w:rFonts w:hint="eastAsia"/>
        </w:rPr>
        <w:t>ř</w:t>
      </w:r>
      <w:r w:rsidRPr="0069131F">
        <w:t>izuje St</w:t>
      </w:r>
      <w:r w:rsidRPr="0069131F">
        <w:rPr>
          <w:rFonts w:hint="eastAsia"/>
        </w:rPr>
        <w:t>ř</w:t>
      </w:r>
      <w:r w:rsidRPr="0069131F">
        <w:t>edo</w:t>
      </w:r>
      <w:r w:rsidRPr="0069131F">
        <w:rPr>
          <w:rFonts w:hint="eastAsia"/>
        </w:rPr>
        <w:t>č</w:t>
      </w:r>
      <w:r w:rsidR="0069131F">
        <w:t>eský kraj</w:t>
      </w:r>
    </w:p>
    <w:p w:rsidR="006C6393" w:rsidRPr="0069131F" w:rsidRDefault="006C6393" w:rsidP="0069131F">
      <w:pPr>
        <w:pStyle w:val="Bezmezer"/>
        <w:numPr>
          <w:ilvl w:val="0"/>
          <w:numId w:val="40"/>
        </w:numPr>
        <w:ind w:hanging="294"/>
      </w:pPr>
      <w:r w:rsidRPr="0069131F">
        <w:rPr>
          <w:b/>
        </w:rPr>
        <w:t>Modernizovat vybavení mate</w:t>
      </w:r>
      <w:r w:rsidRPr="0069131F">
        <w:rPr>
          <w:rFonts w:hint="eastAsia"/>
          <w:b/>
        </w:rPr>
        <w:t>ř</w:t>
      </w:r>
      <w:r w:rsidRPr="0069131F">
        <w:rPr>
          <w:b/>
        </w:rPr>
        <w:t>ských</w:t>
      </w:r>
      <w:r w:rsidRPr="0069131F">
        <w:t xml:space="preserve"> škol a p</w:t>
      </w:r>
      <w:r w:rsidRPr="0069131F">
        <w:rPr>
          <w:rFonts w:hint="eastAsia"/>
        </w:rPr>
        <w:t>ří</w:t>
      </w:r>
      <w:r w:rsidRPr="0069131F">
        <w:t>padn</w:t>
      </w:r>
      <w:r w:rsidRPr="0069131F">
        <w:rPr>
          <w:rFonts w:hint="eastAsia"/>
        </w:rPr>
        <w:t>ě</w:t>
      </w:r>
      <w:r w:rsidRPr="0069131F">
        <w:t xml:space="preserve"> podle pot</w:t>
      </w:r>
      <w:r w:rsidRPr="0069131F">
        <w:rPr>
          <w:rFonts w:hint="eastAsia"/>
        </w:rPr>
        <w:t>ř</w:t>
      </w:r>
      <w:r w:rsidRPr="0069131F">
        <w:t>eb p</w:t>
      </w:r>
      <w:r w:rsidRPr="0069131F">
        <w:rPr>
          <w:rFonts w:hint="eastAsia"/>
        </w:rPr>
        <w:t>ř</w:t>
      </w:r>
      <w:r w:rsidRPr="0069131F">
        <w:t xml:space="preserve">ispívat na </w:t>
      </w:r>
      <w:r w:rsidRPr="0069131F">
        <w:rPr>
          <w:b/>
        </w:rPr>
        <w:t>vybudování bezbariérových p</w:t>
      </w:r>
      <w:r w:rsidRPr="0069131F">
        <w:rPr>
          <w:rFonts w:hint="eastAsia"/>
          <w:b/>
        </w:rPr>
        <w:t>ří</w:t>
      </w:r>
      <w:r w:rsidRPr="0069131F">
        <w:rPr>
          <w:b/>
        </w:rPr>
        <w:t>stup</w:t>
      </w:r>
      <w:r w:rsidRPr="0069131F">
        <w:rPr>
          <w:rFonts w:hint="eastAsia"/>
          <w:b/>
        </w:rPr>
        <w:t>ů</w:t>
      </w:r>
      <w:r w:rsidRPr="0069131F">
        <w:t xml:space="preserve"> v organizacích, které z</w:t>
      </w:r>
      <w:r w:rsidRPr="0069131F">
        <w:rPr>
          <w:rFonts w:hint="eastAsia"/>
        </w:rPr>
        <w:t>ř</w:t>
      </w:r>
      <w:r w:rsidRPr="0069131F">
        <w:t>izuje St</w:t>
      </w:r>
      <w:r w:rsidRPr="0069131F">
        <w:rPr>
          <w:rFonts w:hint="eastAsia"/>
        </w:rPr>
        <w:t>ř</w:t>
      </w:r>
      <w:r w:rsidRPr="0069131F">
        <w:t>edo</w:t>
      </w:r>
      <w:r w:rsidRPr="0069131F">
        <w:rPr>
          <w:rFonts w:hint="eastAsia"/>
        </w:rPr>
        <w:t>č</w:t>
      </w:r>
      <w:r w:rsidRPr="0069131F">
        <w:t>eský kraj</w:t>
      </w:r>
    </w:p>
    <w:p w:rsidR="006C6393" w:rsidRPr="0069131F" w:rsidRDefault="006C6393" w:rsidP="0069131F">
      <w:pPr>
        <w:pStyle w:val="Bezmezer"/>
        <w:numPr>
          <w:ilvl w:val="0"/>
          <w:numId w:val="40"/>
        </w:numPr>
        <w:ind w:hanging="294"/>
      </w:pPr>
      <w:r w:rsidRPr="0069131F">
        <w:t xml:space="preserve">Ve spolupráci s MŠMT </w:t>
      </w:r>
      <w:r w:rsidRPr="0069131F">
        <w:rPr>
          <w:b/>
        </w:rPr>
        <w:t>podporovat vznik míst pro asistenty pedagoga</w:t>
      </w:r>
      <w:r w:rsidRPr="0069131F">
        <w:t xml:space="preserve"> také u d</w:t>
      </w:r>
      <w:r w:rsidRPr="0069131F">
        <w:rPr>
          <w:rFonts w:hint="eastAsia"/>
        </w:rPr>
        <w:t>ě</w:t>
      </w:r>
      <w:r w:rsidRPr="0069131F">
        <w:t>tí p</w:t>
      </w:r>
      <w:r w:rsidRPr="0069131F">
        <w:rPr>
          <w:rFonts w:hint="eastAsia"/>
        </w:rPr>
        <w:t>ř</w:t>
      </w:r>
      <w:r w:rsidRPr="0069131F">
        <w:t>edškolního v</w:t>
      </w:r>
      <w:r w:rsidRPr="0069131F">
        <w:rPr>
          <w:rFonts w:hint="eastAsia"/>
        </w:rPr>
        <w:t>ě</w:t>
      </w:r>
      <w:r w:rsidRPr="0069131F">
        <w:t>ku</w:t>
      </w:r>
    </w:p>
    <w:p w:rsidR="006C6393" w:rsidRPr="0069131F" w:rsidRDefault="006C6393" w:rsidP="0069131F">
      <w:pPr>
        <w:pStyle w:val="Bezmezer"/>
        <w:numPr>
          <w:ilvl w:val="0"/>
          <w:numId w:val="40"/>
        </w:numPr>
        <w:ind w:hanging="294"/>
      </w:pPr>
      <w:r w:rsidRPr="0069131F">
        <w:rPr>
          <w:b/>
        </w:rPr>
        <w:t>Podpo</w:t>
      </w:r>
      <w:r w:rsidRPr="0069131F">
        <w:rPr>
          <w:rFonts w:hint="eastAsia"/>
          <w:b/>
        </w:rPr>
        <w:t>ř</w:t>
      </w:r>
      <w:r w:rsidRPr="0069131F">
        <w:rPr>
          <w:b/>
        </w:rPr>
        <w:t>it rozvoj polytechnického vzd</w:t>
      </w:r>
      <w:r w:rsidRPr="0069131F">
        <w:rPr>
          <w:rFonts w:hint="eastAsia"/>
          <w:b/>
        </w:rPr>
        <w:t>ě</w:t>
      </w:r>
      <w:r w:rsidRPr="0069131F">
        <w:rPr>
          <w:b/>
        </w:rPr>
        <w:t>lávání a manuální zru</w:t>
      </w:r>
      <w:r w:rsidRPr="0069131F">
        <w:rPr>
          <w:rFonts w:hint="eastAsia"/>
          <w:b/>
        </w:rPr>
        <w:t>č</w:t>
      </w:r>
      <w:r w:rsidRPr="0069131F">
        <w:rPr>
          <w:b/>
        </w:rPr>
        <w:t>nosti (nap</w:t>
      </w:r>
      <w:r w:rsidRPr="0069131F">
        <w:rPr>
          <w:rFonts w:hint="eastAsia"/>
          <w:b/>
        </w:rPr>
        <w:t>ř</w:t>
      </w:r>
      <w:r w:rsidRPr="0069131F">
        <w:rPr>
          <w:b/>
        </w:rPr>
        <w:t>. technické hra</w:t>
      </w:r>
      <w:r w:rsidRPr="0069131F">
        <w:rPr>
          <w:rFonts w:hint="eastAsia"/>
          <w:b/>
        </w:rPr>
        <w:t>č</w:t>
      </w:r>
      <w:r w:rsidRPr="0069131F">
        <w:rPr>
          <w:b/>
        </w:rPr>
        <w:t>ky a stavebnice) za</w:t>
      </w:r>
      <w:r w:rsidRPr="0069131F">
        <w:rPr>
          <w:rFonts w:hint="eastAsia"/>
          <w:b/>
        </w:rPr>
        <w:t>č</w:t>
      </w:r>
      <w:r w:rsidRPr="0069131F">
        <w:rPr>
          <w:b/>
        </w:rPr>
        <w:t>len</w:t>
      </w:r>
      <w:r w:rsidRPr="0069131F">
        <w:rPr>
          <w:rFonts w:hint="eastAsia"/>
          <w:b/>
        </w:rPr>
        <w:t>ě</w:t>
      </w:r>
      <w:r w:rsidRPr="0069131F">
        <w:rPr>
          <w:b/>
        </w:rPr>
        <w:t>ním do p</w:t>
      </w:r>
      <w:r w:rsidRPr="0069131F">
        <w:rPr>
          <w:rFonts w:hint="eastAsia"/>
          <w:b/>
        </w:rPr>
        <w:t>ř</w:t>
      </w:r>
      <w:r w:rsidRPr="0069131F">
        <w:rPr>
          <w:b/>
        </w:rPr>
        <w:t>ipravovaných krajských ak</w:t>
      </w:r>
      <w:r w:rsidRPr="0069131F">
        <w:rPr>
          <w:rFonts w:hint="eastAsia"/>
          <w:b/>
        </w:rPr>
        <w:t>č</w:t>
      </w:r>
      <w:r w:rsidRPr="0069131F">
        <w:rPr>
          <w:b/>
        </w:rPr>
        <w:t>ních plán</w:t>
      </w:r>
      <w:r w:rsidRPr="0069131F">
        <w:rPr>
          <w:rFonts w:hint="eastAsia"/>
          <w:b/>
        </w:rPr>
        <w:t>ů</w:t>
      </w:r>
      <w:r w:rsidRPr="0069131F">
        <w:rPr>
          <w:b/>
        </w:rPr>
        <w:t xml:space="preserve"> – KAP na následující období let 2016–2022 a v rámci toho spolupracovat p</w:t>
      </w:r>
      <w:r w:rsidRPr="0069131F">
        <w:rPr>
          <w:rFonts w:hint="eastAsia"/>
          <w:b/>
        </w:rPr>
        <w:t>ř</w:t>
      </w:r>
      <w:r w:rsidRPr="0069131F">
        <w:rPr>
          <w:b/>
        </w:rPr>
        <w:t>i p</w:t>
      </w:r>
      <w:r w:rsidRPr="0069131F">
        <w:rPr>
          <w:rFonts w:hint="eastAsia"/>
          <w:b/>
        </w:rPr>
        <w:t>ří</w:t>
      </w:r>
      <w:r w:rsidRPr="0069131F">
        <w:rPr>
          <w:b/>
        </w:rPr>
        <w:t>prav</w:t>
      </w:r>
      <w:r w:rsidRPr="0069131F">
        <w:rPr>
          <w:rFonts w:hint="eastAsia"/>
          <w:b/>
        </w:rPr>
        <w:t>ě</w:t>
      </w:r>
      <w:r w:rsidRPr="0069131F">
        <w:rPr>
          <w:b/>
        </w:rPr>
        <w:t xml:space="preserve"> místních ak</w:t>
      </w:r>
      <w:r w:rsidRPr="0069131F">
        <w:rPr>
          <w:rFonts w:hint="eastAsia"/>
          <w:b/>
        </w:rPr>
        <w:t>č</w:t>
      </w:r>
      <w:r w:rsidRPr="0069131F">
        <w:rPr>
          <w:b/>
        </w:rPr>
        <w:t>ních plán</w:t>
      </w:r>
      <w:r w:rsidRPr="0069131F">
        <w:rPr>
          <w:rFonts w:hint="eastAsia"/>
          <w:b/>
        </w:rPr>
        <w:t>ů</w:t>
      </w:r>
      <w:r w:rsidRPr="0069131F">
        <w:rPr>
          <w:b/>
        </w:rPr>
        <w:t xml:space="preserve"> vzd</w:t>
      </w:r>
      <w:r w:rsidRPr="0069131F">
        <w:rPr>
          <w:rFonts w:hint="eastAsia"/>
          <w:b/>
        </w:rPr>
        <w:t>ě</w:t>
      </w:r>
      <w:r w:rsidRPr="0069131F">
        <w:rPr>
          <w:b/>
        </w:rPr>
        <w:t>lávání – MAP</w:t>
      </w:r>
    </w:p>
    <w:p w:rsidR="006C6393" w:rsidRPr="0069131F" w:rsidRDefault="006C6393" w:rsidP="0069131F">
      <w:pPr>
        <w:pStyle w:val="Bezmezer"/>
        <w:numPr>
          <w:ilvl w:val="0"/>
          <w:numId w:val="40"/>
        </w:numPr>
        <w:ind w:hanging="294"/>
      </w:pPr>
      <w:r w:rsidRPr="0069131F">
        <w:t xml:space="preserve">V rámci </w:t>
      </w:r>
      <w:r w:rsidRPr="0069131F">
        <w:rPr>
          <w:b/>
        </w:rPr>
        <w:t>podpory inkluze</w:t>
      </w:r>
      <w:r w:rsidRPr="0069131F">
        <w:t xml:space="preserve"> z</w:t>
      </w:r>
      <w:r w:rsidRPr="0069131F">
        <w:rPr>
          <w:rFonts w:hint="eastAsia"/>
        </w:rPr>
        <w:t>ří</w:t>
      </w:r>
      <w:r w:rsidRPr="0069131F">
        <w:t>dit v Pedagogicko-psychologické poradn</w:t>
      </w:r>
      <w:r w:rsidRPr="0069131F">
        <w:rPr>
          <w:rFonts w:hint="eastAsia"/>
        </w:rPr>
        <w:t>ě</w:t>
      </w:r>
      <w:r w:rsidRPr="0069131F">
        <w:t xml:space="preserve"> St</w:t>
      </w:r>
      <w:r w:rsidRPr="0069131F">
        <w:rPr>
          <w:rFonts w:hint="eastAsia"/>
        </w:rPr>
        <w:t>ř</w:t>
      </w:r>
      <w:r w:rsidRPr="0069131F">
        <w:t>edo</w:t>
      </w:r>
      <w:r w:rsidRPr="0069131F">
        <w:rPr>
          <w:rFonts w:hint="eastAsia"/>
        </w:rPr>
        <w:t>č</w:t>
      </w:r>
      <w:r w:rsidRPr="0069131F">
        <w:t>eského kraje p</w:t>
      </w:r>
      <w:r w:rsidRPr="0069131F">
        <w:rPr>
          <w:rFonts w:hint="eastAsia"/>
        </w:rPr>
        <w:t>ů</w:t>
      </w:r>
      <w:r w:rsidRPr="0069131F">
        <w:t>j</w:t>
      </w:r>
      <w:r w:rsidRPr="0069131F">
        <w:rPr>
          <w:rFonts w:hint="eastAsia"/>
        </w:rPr>
        <w:t>č</w:t>
      </w:r>
      <w:r w:rsidRPr="0069131F">
        <w:t>ovnu kompenza</w:t>
      </w:r>
      <w:r w:rsidRPr="0069131F">
        <w:rPr>
          <w:rFonts w:hint="eastAsia"/>
        </w:rPr>
        <w:t>č</w:t>
      </w:r>
      <w:r w:rsidRPr="0069131F">
        <w:t>ních pom</w:t>
      </w:r>
      <w:r w:rsidRPr="0069131F">
        <w:rPr>
          <w:rFonts w:hint="eastAsia"/>
        </w:rPr>
        <w:t>ů</w:t>
      </w:r>
      <w:r w:rsidRPr="0069131F">
        <w:t>cek dle provád</w:t>
      </w:r>
      <w:r w:rsidRPr="0069131F">
        <w:rPr>
          <w:rFonts w:hint="eastAsia"/>
        </w:rPr>
        <w:t>ě</w:t>
      </w:r>
      <w:r w:rsidRPr="0069131F">
        <w:t>cího p</w:t>
      </w:r>
      <w:r w:rsidRPr="0069131F">
        <w:rPr>
          <w:rFonts w:hint="eastAsia"/>
        </w:rPr>
        <w:t>ř</w:t>
      </w:r>
      <w:r w:rsidRPr="0069131F">
        <w:t>edpisu MŠMT</w:t>
      </w:r>
    </w:p>
    <w:p w:rsidR="006A63BD" w:rsidRDefault="006A63BD" w:rsidP="006A63BD">
      <w:pPr>
        <w:pStyle w:val="Bezmezer"/>
      </w:pPr>
      <w:r>
        <w:t>Dále, v kapitole základního vzdělávání, je poznamenáváno: „</w:t>
      </w:r>
      <w:r w:rsidRPr="006A63BD">
        <w:rPr>
          <w:b/>
          <w:bCs/>
          <w:i/>
        </w:rPr>
        <w:t xml:space="preserve">Modernizace škol a podpora navyšování kapacit základních škol </w:t>
      </w:r>
      <w:r w:rsidRPr="006A63BD">
        <w:rPr>
          <w:bCs/>
          <w:i/>
        </w:rPr>
        <w:t>v návaznosti na demografický vývoj je významným prvkem politiky školství SK a zůstává jím i do budoucn</w:t>
      </w:r>
      <w:r>
        <w:rPr>
          <w:bCs/>
          <w:i/>
        </w:rPr>
        <w:t>a.</w:t>
      </w:r>
      <w:r>
        <w:t>“ Dokument dále zmiňuje hlavní úkoly v oblasti základního vzdělávání na období 2016 – 2020:</w:t>
      </w:r>
    </w:p>
    <w:p w:rsidR="00C05777" w:rsidRPr="0069131F" w:rsidRDefault="00C05777" w:rsidP="0069131F">
      <w:pPr>
        <w:pStyle w:val="Bezmezer"/>
        <w:numPr>
          <w:ilvl w:val="0"/>
          <w:numId w:val="41"/>
        </w:numPr>
        <w:ind w:hanging="294"/>
      </w:pPr>
      <w:r w:rsidRPr="0069131F">
        <w:t>Je t</w:t>
      </w:r>
      <w:r w:rsidRPr="0069131F">
        <w:rPr>
          <w:rFonts w:hint="eastAsia"/>
        </w:rPr>
        <w:t>ř</w:t>
      </w:r>
      <w:r w:rsidRPr="0069131F">
        <w:t xml:space="preserve">eba </w:t>
      </w:r>
      <w:r w:rsidRPr="0069131F">
        <w:rPr>
          <w:b/>
        </w:rPr>
        <w:t>v</w:t>
      </w:r>
      <w:r w:rsidRPr="0069131F">
        <w:rPr>
          <w:rFonts w:hint="eastAsia"/>
          <w:b/>
        </w:rPr>
        <w:t>ě</w:t>
      </w:r>
      <w:r w:rsidRPr="0069131F">
        <w:rPr>
          <w:b/>
        </w:rPr>
        <w:t>novat</w:t>
      </w:r>
      <w:r w:rsidRPr="0069131F">
        <w:t xml:space="preserve"> náležitou </w:t>
      </w:r>
      <w:r w:rsidRPr="0069131F">
        <w:rPr>
          <w:b/>
        </w:rPr>
        <w:t>pozornost technické výchov</w:t>
      </w:r>
      <w:r w:rsidRPr="0069131F">
        <w:rPr>
          <w:rFonts w:hint="eastAsia"/>
          <w:b/>
        </w:rPr>
        <w:t>ě</w:t>
      </w:r>
      <w:r w:rsidRPr="0069131F">
        <w:rPr>
          <w:b/>
        </w:rPr>
        <w:t xml:space="preserve"> a praktickým dovednostem</w:t>
      </w:r>
    </w:p>
    <w:p w:rsidR="00C05777" w:rsidRPr="0069131F" w:rsidRDefault="00C05777" w:rsidP="0069131F">
      <w:pPr>
        <w:pStyle w:val="Bezmezer"/>
        <w:numPr>
          <w:ilvl w:val="0"/>
          <w:numId w:val="41"/>
        </w:numPr>
        <w:ind w:hanging="294"/>
      </w:pPr>
      <w:r w:rsidRPr="0069131F">
        <w:t xml:space="preserve">Podporovat </w:t>
      </w:r>
      <w:r w:rsidRPr="0069131F">
        <w:rPr>
          <w:b/>
        </w:rPr>
        <w:t>spolupráci základních škol se st</w:t>
      </w:r>
      <w:r w:rsidRPr="0069131F">
        <w:rPr>
          <w:rFonts w:hint="eastAsia"/>
          <w:b/>
        </w:rPr>
        <w:t>ř</w:t>
      </w:r>
      <w:r w:rsidRPr="0069131F">
        <w:rPr>
          <w:b/>
        </w:rPr>
        <w:t>edními školami</w:t>
      </w:r>
      <w:r w:rsidRPr="0069131F">
        <w:t xml:space="preserve"> k zatraktivn</w:t>
      </w:r>
      <w:r w:rsidRPr="0069131F">
        <w:rPr>
          <w:rFonts w:hint="eastAsia"/>
        </w:rPr>
        <w:t>ě</w:t>
      </w:r>
      <w:r w:rsidRPr="0069131F">
        <w:t>ní výuky a rozši</w:t>
      </w:r>
      <w:r w:rsidRPr="0069131F">
        <w:rPr>
          <w:rFonts w:hint="eastAsia"/>
        </w:rPr>
        <w:t>ř</w:t>
      </w:r>
      <w:r w:rsidRPr="0069131F">
        <w:t>ování technických obor</w:t>
      </w:r>
      <w:r w:rsidRPr="0069131F">
        <w:rPr>
          <w:rFonts w:hint="eastAsia"/>
        </w:rPr>
        <w:t>ů</w:t>
      </w:r>
      <w:r w:rsidRPr="0069131F">
        <w:t xml:space="preserve"> pro další rozvoj vzd</w:t>
      </w:r>
      <w:r w:rsidRPr="0069131F">
        <w:rPr>
          <w:rFonts w:hint="eastAsia"/>
        </w:rPr>
        <w:t>ě</w:t>
      </w:r>
      <w:r w:rsidRPr="0069131F">
        <w:t>lávání i v rá</w:t>
      </w:r>
      <w:r w:rsidR="0069131F">
        <w:t>mci udržitelnosti projektu CPTO</w:t>
      </w:r>
    </w:p>
    <w:p w:rsidR="00C05777" w:rsidRPr="0069131F" w:rsidRDefault="00C05777" w:rsidP="0069131F">
      <w:pPr>
        <w:pStyle w:val="Bezmezer"/>
        <w:numPr>
          <w:ilvl w:val="0"/>
          <w:numId w:val="41"/>
        </w:numPr>
        <w:ind w:hanging="294"/>
      </w:pPr>
      <w:r w:rsidRPr="0069131F">
        <w:t>Nenavyšovat po</w:t>
      </w:r>
      <w:r w:rsidRPr="0069131F">
        <w:rPr>
          <w:rFonts w:hint="eastAsia"/>
        </w:rPr>
        <w:t>č</w:t>
      </w:r>
      <w:r w:rsidRPr="0069131F">
        <w:t>ty p</w:t>
      </w:r>
      <w:r w:rsidRPr="0069131F">
        <w:rPr>
          <w:rFonts w:hint="eastAsia"/>
        </w:rPr>
        <w:t>ř</w:t>
      </w:r>
      <w:r w:rsidRPr="0069131F">
        <w:t>ijímaných žák</w:t>
      </w:r>
      <w:r w:rsidRPr="0069131F">
        <w:rPr>
          <w:rFonts w:hint="eastAsia"/>
        </w:rPr>
        <w:t>ů</w:t>
      </w:r>
      <w:r w:rsidRPr="0069131F">
        <w:t xml:space="preserve"> do 1. ro</w:t>
      </w:r>
      <w:r w:rsidRPr="0069131F">
        <w:rPr>
          <w:rFonts w:hint="eastAsia"/>
        </w:rPr>
        <w:t>č</w:t>
      </w:r>
      <w:r w:rsidRPr="0069131F">
        <w:t>ník</w:t>
      </w:r>
      <w:r w:rsidRPr="0069131F">
        <w:rPr>
          <w:rFonts w:hint="eastAsia"/>
        </w:rPr>
        <w:t>ů</w:t>
      </w:r>
      <w:r w:rsidR="0069131F">
        <w:t xml:space="preserve"> na víceletá gymnázia</w:t>
      </w:r>
    </w:p>
    <w:p w:rsidR="00C05777" w:rsidRPr="0069131F" w:rsidRDefault="00C05777" w:rsidP="0069131F">
      <w:pPr>
        <w:pStyle w:val="Bezmezer"/>
        <w:numPr>
          <w:ilvl w:val="0"/>
          <w:numId w:val="41"/>
        </w:numPr>
        <w:ind w:hanging="294"/>
      </w:pPr>
      <w:r w:rsidRPr="0069131F">
        <w:t>Podporovat ze St</w:t>
      </w:r>
      <w:r w:rsidRPr="0069131F">
        <w:rPr>
          <w:rFonts w:hint="eastAsia"/>
        </w:rPr>
        <w:t>ř</w:t>
      </w:r>
      <w:r w:rsidRPr="0069131F">
        <w:t>edo</w:t>
      </w:r>
      <w:r w:rsidRPr="0069131F">
        <w:rPr>
          <w:rFonts w:hint="eastAsia"/>
        </w:rPr>
        <w:t>č</w:t>
      </w:r>
      <w:r w:rsidRPr="0069131F">
        <w:t>eského Fondu vzd</w:t>
      </w:r>
      <w:r w:rsidRPr="0069131F">
        <w:rPr>
          <w:rFonts w:hint="eastAsia"/>
        </w:rPr>
        <w:t>ě</w:t>
      </w:r>
      <w:r w:rsidRPr="0069131F">
        <w:t xml:space="preserve">lávání, sportu, volného </w:t>
      </w:r>
      <w:r w:rsidRPr="0069131F">
        <w:rPr>
          <w:rFonts w:hint="eastAsia"/>
        </w:rPr>
        <w:t>č</w:t>
      </w:r>
      <w:r w:rsidRPr="0069131F">
        <w:t xml:space="preserve">asu a primární prevence </w:t>
      </w:r>
      <w:r w:rsidRPr="0069131F">
        <w:rPr>
          <w:b/>
        </w:rPr>
        <w:t>rozvoj</w:t>
      </w:r>
      <w:r w:rsidRPr="0069131F">
        <w:t xml:space="preserve"> </w:t>
      </w:r>
      <w:r w:rsidRPr="0069131F">
        <w:rPr>
          <w:b/>
        </w:rPr>
        <w:t>manuálních dovedností formou kroužk</w:t>
      </w:r>
      <w:r w:rsidRPr="0069131F">
        <w:rPr>
          <w:rFonts w:hint="eastAsia"/>
          <w:b/>
        </w:rPr>
        <w:t>ů</w:t>
      </w:r>
      <w:r w:rsidRPr="0069131F">
        <w:rPr>
          <w:b/>
        </w:rPr>
        <w:t xml:space="preserve"> a dílen</w:t>
      </w:r>
    </w:p>
    <w:p w:rsidR="006A63BD" w:rsidRPr="0069131F" w:rsidRDefault="00C05777" w:rsidP="0069131F">
      <w:pPr>
        <w:pStyle w:val="Bezmezer"/>
        <w:numPr>
          <w:ilvl w:val="0"/>
          <w:numId w:val="41"/>
        </w:numPr>
        <w:ind w:hanging="294"/>
      </w:pPr>
      <w:r w:rsidRPr="0069131F">
        <w:t>Zam</w:t>
      </w:r>
      <w:r w:rsidRPr="0069131F">
        <w:rPr>
          <w:rFonts w:hint="eastAsia"/>
        </w:rPr>
        <w:t>ěř</w:t>
      </w:r>
      <w:r w:rsidRPr="0069131F">
        <w:t xml:space="preserve">it pozornost na </w:t>
      </w:r>
      <w:r w:rsidRPr="0069131F">
        <w:rPr>
          <w:b/>
        </w:rPr>
        <w:t>snižování množství odklad</w:t>
      </w:r>
      <w:r w:rsidRPr="0069131F">
        <w:rPr>
          <w:rFonts w:hint="eastAsia"/>
          <w:b/>
        </w:rPr>
        <w:t>ů</w:t>
      </w:r>
      <w:r w:rsidRPr="0069131F">
        <w:rPr>
          <w:b/>
        </w:rPr>
        <w:t xml:space="preserve"> povinné školní docházky</w:t>
      </w:r>
      <w:r w:rsidRPr="0069131F">
        <w:t xml:space="preserve"> zvýšenou metodickou a </w:t>
      </w:r>
      <w:r w:rsidRPr="0069131F">
        <w:rPr>
          <w:rFonts w:hint="eastAsia"/>
        </w:rPr>
        <w:t>ří</w:t>
      </w:r>
      <w:r w:rsidRPr="0069131F">
        <w:t xml:space="preserve">dící </w:t>
      </w:r>
      <w:r w:rsidRPr="0069131F">
        <w:rPr>
          <w:rFonts w:hint="eastAsia"/>
        </w:rPr>
        <w:t>č</w:t>
      </w:r>
      <w:r w:rsidRPr="0069131F">
        <w:t>inností v</w:t>
      </w:r>
      <w:r w:rsidRPr="0069131F">
        <w:rPr>
          <w:rFonts w:hint="eastAsia"/>
        </w:rPr>
        <w:t>ůč</w:t>
      </w:r>
      <w:r w:rsidRPr="0069131F">
        <w:t>i pedagogicko-psychologické poradn</w:t>
      </w:r>
      <w:r w:rsidRPr="0069131F">
        <w:rPr>
          <w:rFonts w:hint="eastAsia"/>
        </w:rPr>
        <w:t>ě</w:t>
      </w:r>
    </w:p>
    <w:p w:rsidR="00C05777" w:rsidRPr="0069131F" w:rsidRDefault="00C05777" w:rsidP="0069131F">
      <w:pPr>
        <w:pStyle w:val="Bezmezer"/>
        <w:numPr>
          <w:ilvl w:val="0"/>
          <w:numId w:val="41"/>
        </w:numPr>
        <w:ind w:hanging="294"/>
      </w:pPr>
      <w:r w:rsidRPr="0069131F">
        <w:t>Modernizovat a zkvalit</w:t>
      </w:r>
      <w:r w:rsidRPr="0069131F">
        <w:rPr>
          <w:rFonts w:hint="eastAsia"/>
        </w:rPr>
        <w:t>ň</w:t>
      </w:r>
      <w:r w:rsidRPr="0069131F">
        <w:t>ovat poskytované služby pedagogicko-psychologických poraden v</w:t>
      </w:r>
      <w:r w:rsidRPr="0069131F">
        <w:rPr>
          <w:rFonts w:hint="eastAsia"/>
        </w:rPr>
        <w:t>č</w:t>
      </w:r>
      <w:r w:rsidRPr="0069131F">
        <w:t>etn</w:t>
      </w:r>
      <w:r w:rsidRPr="0069131F">
        <w:rPr>
          <w:rFonts w:hint="eastAsia"/>
        </w:rPr>
        <w:t>ě</w:t>
      </w:r>
      <w:r w:rsidRPr="0069131F">
        <w:t xml:space="preserve"> </w:t>
      </w:r>
      <w:r w:rsidRPr="0069131F">
        <w:rPr>
          <w:b/>
        </w:rPr>
        <w:t>z</w:t>
      </w:r>
      <w:r w:rsidRPr="0069131F">
        <w:rPr>
          <w:rFonts w:hint="eastAsia"/>
          <w:b/>
        </w:rPr>
        <w:t>ří</w:t>
      </w:r>
      <w:r w:rsidRPr="0069131F">
        <w:rPr>
          <w:b/>
        </w:rPr>
        <w:t>zení p</w:t>
      </w:r>
      <w:r w:rsidRPr="0069131F">
        <w:rPr>
          <w:rFonts w:hint="eastAsia"/>
          <w:b/>
        </w:rPr>
        <w:t>ů</w:t>
      </w:r>
      <w:r w:rsidRPr="0069131F">
        <w:rPr>
          <w:b/>
        </w:rPr>
        <w:t>j</w:t>
      </w:r>
      <w:r w:rsidRPr="0069131F">
        <w:rPr>
          <w:rFonts w:hint="eastAsia"/>
          <w:b/>
        </w:rPr>
        <w:t>č</w:t>
      </w:r>
      <w:r w:rsidRPr="0069131F">
        <w:rPr>
          <w:b/>
        </w:rPr>
        <w:t>ovny kompenza</w:t>
      </w:r>
      <w:r w:rsidRPr="0069131F">
        <w:rPr>
          <w:rFonts w:hint="eastAsia"/>
          <w:b/>
        </w:rPr>
        <w:t>č</w:t>
      </w:r>
      <w:r w:rsidRPr="0069131F">
        <w:rPr>
          <w:b/>
        </w:rPr>
        <w:t>ních pom</w:t>
      </w:r>
      <w:r w:rsidRPr="0069131F">
        <w:rPr>
          <w:rFonts w:hint="eastAsia"/>
          <w:b/>
        </w:rPr>
        <w:t>ů</w:t>
      </w:r>
      <w:r w:rsidRPr="0069131F">
        <w:rPr>
          <w:b/>
        </w:rPr>
        <w:t>cek v rámci inkluze</w:t>
      </w:r>
    </w:p>
    <w:p w:rsidR="00400054" w:rsidRPr="00F2686D" w:rsidRDefault="00400054" w:rsidP="00400054">
      <w:pPr>
        <w:pStyle w:val="Nadpis3"/>
      </w:pPr>
      <w:bookmarkStart w:id="29" w:name="_Toc465592576"/>
      <w:r>
        <w:lastRenderedPageBreak/>
        <w:t>Strategie komunitn</w:t>
      </w:r>
      <w:r>
        <w:rPr>
          <w:rFonts w:hint="eastAsia"/>
        </w:rPr>
        <w:t>ě</w:t>
      </w:r>
      <w:r>
        <w:t xml:space="preserve"> vedeného místního rozvoje pro území MAS Lípa pro </w:t>
      </w:r>
      <w:r w:rsidR="00EA1F89">
        <w:t>VENKOV, Z. S.</w:t>
      </w:r>
      <w:r>
        <w:t xml:space="preserve"> na období 2014 - 2020</w:t>
      </w:r>
      <w:bookmarkEnd w:id="29"/>
      <w:r w:rsidRPr="00F2686D">
        <w:t xml:space="preserve"> </w:t>
      </w:r>
    </w:p>
    <w:p w:rsidR="00EA1F89" w:rsidRDefault="00EA1F89" w:rsidP="00400054">
      <w:pPr>
        <w:pStyle w:val="Bezmezer"/>
      </w:pPr>
      <w:r>
        <w:t xml:space="preserve">Sestoupíme-li dále o úroveň níže, dostáváme se již do kutnohorského regionu. Zde figurují dva relevantní dokumenty, z nichž tím prvním je strategie MAS Lípa pro venkov. MAS zahrnuje naprostou většinu území SO ORP Kutná Hora a proto lze brát </w:t>
      </w:r>
      <w:proofErr w:type="spellStart"/>
      <w:r>
        <w:t>jejáí</w:t>
      </w:r>
      <w:proofErr w:type="spellEnd"/>
      <w:r>
        <w:t xml:space="preserve"> strategii jako relevantní dokument. Ten má již daleko nejblíže ke každé vesnické škole a jeho poznatky jsou tak neoddiskutovatelným přínosem k rozvoji regionálního školství.</w:t>
      </w:r>
    </w:p>
    <w:p w:rsidR="00F2686D" w:rsidRDefault="00C6520E" w:rsidP="00400054">
      <w:pPr>
        <w:pStyle w:val="Bezmezer"/>
      </w:pPr>
      <w:r>
        <w:t>Dokument mimo jiné poznamenává: „</w:t>
      </w:r>
      <w:r w:rsidRPr="00C6520E">
        <w:rPr>
          <w:i/>
        </w:rPr>
        <w:t>Přítomnost základní školy má pro rozvoj venkovského sídla nezastupitelný význam. Sehrává významnou roli při utváření duchovního a společenského klimatu, je zdrojem pracovních příležitostí a vytváří podmínky pro usidlování mladých rodin v obci. Dostupnost školy je důležitým faktorem pro rozhodování, zda žít v malé obci nebo se přestěhovat do města</w:t>
      </w:r>
      <w:r>
        <w:t>.“ Jako jeden z možných problémů v rámci MŠ a ZŠ uvádí dokument nedostatek lidských zdrojů. Zmiňuje rovněž problematiku jeslí: „</w:t>
      </w:r>
      <w:r w:rsidRPr="00C6520E">
        <w:rPr>
          <w:i/>
        </w:rPr>
        <w:t>Co lze hodnotit v řešeném území jako problém je nedostatečné množství zařízení pro děti do 3 let, kdy rodiče, pokud nemají možnost svěřit své dítě na hlídání dalším členům rodiny, musí zůstat na rodičovské dovolené do té doby, než dítě přihlásí do mateřské školy.</w:t>
      </w:r>
      <w:r>
        <w:t>“</w:t>
      </w:r>
      <w:r w:rsidR="00EA1F89">
        <w:t xml:space="preserve"> </w:t>
      </w:r>
    </w:p>
    <w:p w:rsidR="00F7796D" w:rsidRDefault="00F7796D" w:rsidP="00400054">
      <w:pPr>
        <w:pStyle w:val="Bezmezer"/>
      </w:pPr>
      <w:r>
        <w:t>Ve své strategické části obsahuje dokument mi jiné také opatření 1.2 Školství a mimoškolní vzdělávání, v rámci něhož formuluje tři aktivity. Každá z aktivit je zarámována konkrétními podporovanými činnostmi</w:t>
      </w:r>
      <w:r w:rsidR="00EE2F50">
        <w:t xml:space="preserve">. Dvě z nich mají bezprostřední vazbu na </w:t>
      </w:r>
      <w:proofErr w:type="gramStart"/>
      <w:r w:rsidR="00EE2F50">
        <w:t>MAP</w:t>
      </w:r>
      <w:proofErr w:type="gramEnd"/>
      <w:r>
        <w:t>:</w:t>
      </w:r>
    </w:p>
    <w:p w:rsidR="00F7796D" w:rsidRPr="00F7796D" w:rsidRDefault="00F7796D" w:rsidP="00400054">
      <w:pPr>
        <w:pStyle w:val="Bezmezer"/>
        <w:rPr>
          <w:u w:val="single"/>
        </w:rPr>
      </w:pPr>
      <w:r w:rsidRPr="00F7796D">
        <w:rPr>
          <w:u w:val="single"/>
        </w:rPr>
        <w:t>Optimalizace a rozvoj sítě škol a zvýšení kvality jejich vybavení</w:t>
      </w:r>
    </w:p>
    <w:p w:rsidR="00F7796D" w:rsidRPr="0069131F" w:rsidRDefault="00F7796D" w:rsidP="00F7796D">
      <w:pPr>
        <w:pStyle w:val="Bezmezer"/>
        <w:numPr>
          <w:ilvl w:val="0"/>
          <w:numId w:val="38"/>
        </w:numPr>
        <w:ind w:hanging="294"/>
        <w:rPr>
          <w:b/>
        </w:rPr>
      </w:pPr>
      <w:r w:rsidRPr="0069131F">
        <w:rPr>
          <w:b/>
        </w:rPr>
        <w:t xml:space="preserve">rekonstrukce objektů ZŠ, ZUŠ a MŠ, školních jídelen a tělocvičen a jejich vybavení </w:t>
      </w:r>
    </w:p>
    <w:p w:rsidR="00F7796D" w:rsidRDefault="00F7796D" w:rsidP="00F7796D">
      <w:pPr>
        <w:pStyle w:val="Bezmezer"/>
        <w:numPr>
          <w:ilvl w:val="0"/>
          <w:numId w:val="38"/>
        </w:numPr>
        <w:ind w:hanging="294"/>
      </w:pPr>
      <w:r>
        <w:t xml:space="preserve">rekonstrukce a modernizace SŠ a učilišť </w:t>
      </w:r>
    </w:p>
    <w:p w:rsidR="00F7796D" w:rsidRDefault="00F7796D" w:rsidP="00F7796D">
      <w:pPr>
        <w:pStyle w:val="Bezmezer"/>
        <w:numPr>
          <w:ilvl w:val="0"/>
          <w:numId w:val="38"/>
        </w:numPr>
        <w:ind w:hanging="294"/>
      </w:pPr>
      <w:r w:rsidRPr="00EE2F50">
        <w:rPr>
          <w:b/>
        </w:rPr>
        <w:t>vznik školních klubů, družin a prostor pro volnočasové aktivity</w:t>
      </w:r>
      <w:r>
        <w:t xml:space="preserve"> ve vztahu k různým formám vzdělávání </w:t>
      </w:r>
    </w:p>
    <w:p w:rsidR="00F7796D" w:rsidRDefault="00F7796D" w:rsidP="00F7796D">
      <w:pPr>
        <w:pStyle w:val="Bezmezer"/>
        <w:numPr>
          <w:ilvl w:val="0"/>
          <w:numId w:val="38"/>
        </w:numPr>
        <w:ind w:hanging="294"/>
      </w:pPr>
      <w:r w:rsidRPr="00EE2F50">
        <w:rPr>
          <w:b/>
        </w:rPr>
        <w:t>vytváření venkovních učeben a prostor pro doplňkové aktivity</w:t>
      </w:r>
      <w:r>
        <w:t xml:space="preserve"> související se vzděláváním </w:t>
      </w:r>
    </w:p>
    <w:p w:rsidR="00F7796D" w:rsidRDefault="00F7796D" w:rsidP="00F7796D">
      <w:pPr>
        <w:pStyle w:val="Bezmezer"/>
        <w:numPr>
          <w:ilvl w:val="0"/>
          <w:numId w:val="38"/>
        </w:numPr>
        <w:ind w:hanging="294"/>
      </w:pPr>
      <w:r>
        <w:t>vznik zařízení zaměřeného na vyšší odborné vzdělávání v Kutné Hoře</w:t>
      </w:r>
    </w:p>
    <w:p w:rsidR="00F7796D" w:rsidRPr="00F7796D" w:rsidRDefault="00F7796D" w:rsidP="00F7796D">
      <w:pPr>
        <w:pStyle w:val="Bezmezer"/>
        <w:rPr>
          <w:u w:val="single"/>
        </w:rPr>
      </w:pPr>
      <w:r w:rsidRPr="00F7796D">
        <w:rPr>
          <w:u w:val="single"/>
        </w:rPr>
        <w:t>Spolupráce a poradenství</w:t>
      </w:r>
    </w:p>
    <w:p w:rsidR="00F7796D" w:rsidRPr="00EE2F50" w:rsidRDefault="00F7796D" w:rsidP="00F7796D">
      <w:pPr>
        <w:pStyle w:val="Bezmezer"/>
        <w:numPr>
          <w:ilvl w:val="0"/>
          <w:numId w:val="38"/>
        </w:numPr>
        <w:ind w:hanging="294"/>
        <w:rPr>
          <w:b/>
        </w:rPr>
      </w:pPr>
      <w:r w:rsidRPr="00EE2F50">
        <w:rPr>
          <w:b/>
        </w:rPr>
        <w:t xml:space="preserve">pořádání pravidelných setkání zástupců škol a zřizovatelských samospráv </w:t>
      </w:r>
    </w:p>
    <w:p w:rsidR="00F7796D" w:rsidRDefault="00F7796D" w:rsidP="00F7796D">
      <w:pPr>
        <w:pStyle w:val="Bezmezer"/>
        <w:numPr>
          <w:ilvl w:val="0"/>
          <w:numId w:val="38"/>
        </w:numPr>
        <w:ind w:hanging="294"/>
      </w:pPr>
      <w:r>
        <w:t xml:space="preserve">zajištění </w:t>
      </w:r>
      <w:r w:rsidRPr="00EE2F50">
        <w:rPr>
          <w:b/>
        </w:rPr>
        <w:t>sdílení informací</w:t>
      </w:r>
      <w:r>
        <w:t xml:space="preserve"> a </w:t>
      </w:r>
      <w:r w:rsidRPr="00EE2F50">
        <w:rPr>
          <w:b/>
        </w:rPr>
        <w:t>předávání příkladů dobré praxe</w:t>
      </w:r>
      <w:r>
        <w:t xml:space="preserve"> mezi školami </w:t>
      </w:r>
    </w:p>
    <w:p w:rsidR="00F7796D" w:rsidRDefault="00F7796D" w:rsidP="00F7796D">
      <w:pPr>
        <w:pStyle w:val="Bezmezer"/>
        <w:numPr>
          <w:ilvl w:val="0"/>
          <w:numId w:val="38"/>
        </w:numPr>
        <w:ind w:hanging="294"/>
      </w:pPr>
      <w:r>
        <w:t xml:space="preserve">poradenství a pomoc při přípravě, realizaci a vyúčtování projektů </w:t>
      </w:r>
    </w:p>
    <w:p w:rsidR="00F7796D" w:rsidRDefault="00F7796D" w:rsidP="00F7796D">
      <w:pPr>
        <w:pStyle w:val="Bezmezer"/>
        <w:numPr>
          <w:ilvl w:val="0"/>
          <w:numId w:val="38"/>
        </w:numPr>
        <w:ind w:hanging="294"/>
      </w:pPr>
      <w:r>
        <w:t xml:space="preserve">konání vědomostních, uměleckých a sportovních soutěží pro školy v území MAS </w:t>
      </w:r>
    </w:p>
    <w:p w:rsidR="00F7796D" w:rsidRDefault="00F7796D" w:rsidP="00F7796D">
      <w:pPr>
        <w:pStyle w:val="Bezmezer"/>
        <w:numPr>
          <w:ilvl w:val="0"/>
          <w:numId w:val="38"/>
        </w:numPr>
        <w:ind w:hanging="294"/>
      </w:pPr>
      <w:r>
        <w:t xml:space="preserve">sdílení nepedagogických pracovníků pro více škol (např. putovní psycholog) </w:t>
      </w:r>
    </w:p>
    <w:p w:rsidR="00F7796D" w:rsidRDefault="00F7796D" w:rsidP="00F7796D">
      <w:pPr>
        <w:pStyle w:val="Bezmezer"/>
        <w:numPr>
          <w:ilvl w:val="0"/>
          <w:numId w:val="38"/>
        </w:numPr>
        <w:ind w:hanging="294"/>
      </w:pPr>
      <w:r w:rsidRPr="00EE2F50">
        <w:rPr>
          <w:b/>
        </w:rPr>
        <w:t>spolupráce s rodiči a NNO</w:t>
      </w:r>
      <w:r>
        <w:t xml:space="preserve"> (zajištění kroužků a další zájmové činnosti)  </w:t>
      </w:r>
    </w:p>
    <w:p w:rsidR="00EA12FF" w:rsidRPr="00B14C54" w:rsidRDefault="00B14C54" w:rsidP="00B14C54">
      <w:pPr>
        <w:pStyle w:val="Nadpis3"/>
      </w:pPr>
      <w:bookmarkStart w:id="30" w:name="_Toc465592577"/>
      <w:r w:rsidRPr="00B14C54">
        <w:lastRenderedPageBreak/>
        <w:t xml:space="preserve">Strategie území </w:t>
      </w:r>
      <w:r>
        <w:t>SO</w:t>
      </w:r>
      <w:r w:rsidRPr="00B14C54">
        <w:t xml:space="preserve"> ORP Kutná Hora v oblasti školství, soc</w:t>
      </w:r>
      <w:r>
        <w:t>.</w:t>
      </w:r>
      <w:r w:rsidRPr="00B14C54">
        <w:t xml:space="preserve"> služeb, odpad</w:t>
      </w:r>
      <w:r>
        <w:t>.</w:t>
      </w:r>
      <w:r w:rsidRPr="00B14C54">
        <w:t xml:space="preserve"> hospodářství a rekreace a cestovního ruchu</w:t>
      </w:r>
      <w:bookmarkEnd w:id="30"/>
      <w:r w:rsidR="00EA12FF" w:rsidRPr="00B14C54">
        <w:t xml:space="preserve"> </w:t>
      </w:r>
    </w:p>
    <w:p w:rsidR="00507A8A" w:rsidRDefault="00507A8A" w:rsidP="00507A8A">
      <w:pPr>
        <w:pStyle w:val="Bezmezer"/>
      </w:pPr>
      <w:r>
        <w:t xml:space="preserve">Strategie byla zpracována v rámci rozsáhlého, celorepublikového projektu Meziobecní spolupráce, který probíhal v letech 2014 až 2015. </w:t>
      </w:r>
      <w:r w:rsidR="00870568">
        <w:t>Jedním ze čtyř rozsáhlých témat bylo i školství.</w:t>
      </w:r>
    </w:p>
    <w:p w:rsidR="00A9628B" w:rsidRDefault="00A9628B" w:rsidP="00507A8A">
      <w:pPr>
        <w:pStyle w:val="Bezmezer"/>
      </w:pPr>
      <w:r>
        <w:t>Strategie disponuje rozsáhlou analytickou částí, v níž jsou rozepisovány jednotlivá vzdělávací zařízení z různých úhlů.</w:t>
      </w:r>
      <w:r w:rsidR="00C53A6B">
        <w:t xml:space="preserve"> Z pohledu MAP jsou zajímavé definované problémové oblasti. Obě se zabývají předškolním vzděláváním a jsou dále řešena konkrétními cíly. Z hlediska MAP je podstatná </w:t>
      </w:r>
      <w:r w:rsidR="00C53A6B" w:rsidRPr="00750A98">
        <w:rPr>
          <w:b/>
        </w:rPr>
        <w:t>snaha o řešení kapacitně nedostačující situace v předškolním vzdělávání</w:t>
      </w:r>
      <w:r w:rsidR="00C53A6B">
        <w:t>.</w:t>
      </w:r>
    </w:p>
    <w:p w:rsidR="00C53A6B" w:rsidRDefault="00C53A6B" w:rsidP="00C53A6B">
      <w:pPr>
        <w:pStyle w:val="Nadpis5"/>
      </w:pPr>
      <w:r w:rsidRPr="00CA525B">
        <w:t xml:space="preserve">Tabulka: </w:t>
      </w:r>
      <w:r>
        <w:t>Struktura problémových oblastí a cílů ve strategii MOS</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auto"/>
          <w:insideV w:val="single" w:sz="8" w:space="0" w:color="auto"/>
        </w:tblBorders>
        <w:tblLook w:val="04A0"/>
      </w:tblPr>
      <w:tblGrid>
        <w:gridCol w:w="1297"/>
        <w:gridCol w:w="3171"/>
        <w:gridCol w:w="2339"/>
        <w:gridCol w:w="2479"/>
      </w:tblGrid>
      <w:tr w:rsidR="00C53A6B" w:rsidRPr="00C53A6B" w:rsidTr="00177B56">
        <w:trPr>
          <w:trHeight w:val="227"/>
          <w:jc w:val="center"/>
        </w:trPr>
        <w:tc>
          <w:tcPr>
            <w:tcW w:w="1297" w:type="dxa"/>
            <w:shd w:val="clear" w:color="auto" w:fill="auto"/>
          </w:tcPr>
          <w:p w:rsidR="00C53A6B" w:rsidRPr="00C53A6B" w:rsidRDefault="00C53A6B" w:rsidP="00C53A6B">
            <w:pPr>
              <w:pStyle w:val="Nzev"/>
              <w:jc w:val="center"/>
              <w:rPr>
                <w:b/>
              </w:rPr>
            </w:pPr>
            <w:r w:rsidRPr="00C53A6B">
              <w:rPr>
                <w:b/>
              </w:rPr>
              <w:t>Problémové oblasti</w:t>
            </w:r>
          </w:p>
        </w:tc>
        <w:tc>
          <w:tcPr>
            <w:tcW w:w="3171" w:type="dxa"/>
            <w:shd w:val="clear" w:color="auto" w:fill="auto"/>
            <w:vAlign w:val="center"/>
          </w:tcPr>
          <w:p w:rsidR="00C53A6B" w:rsidRPr="00C53A6B" w:rsidRDefault="00C53A6B" w:rsidP="00C53A6B">
            <w:pPr>
              <w:pStyle w:val="Nzev"/>
              <w:jc w:val="center"/>
            </w:pPr>
            <w:r w:rsidRPr="00C53A6B">
              <w:t>Nedostatečná kapacita předškolních zařízení</w:t>
            </w:r>
          </w:p>
        </w:tc>
        <w:tc>
          <w:tcPr>
            <w:tcW w:w="4818" w:type="dxa"/>
            <w:gridSpan w:val="2"/>
            <w:shd w:val="clear" w:color="auto" w:fill="auto"/>
            <w:vAlign w:val="center"/>
          </w:tcPr>
          <w:p w:rsidR="00C53A6B" w:rsidRPr="00C53A6B" w:rsidRDefault="00C53A6B" w:rsidP="00C53A6B">
            <w:pPr>
              <w:pStyle w:val="Nzev"/>
              <w:jc w:val="center"/>
            </w:pPr>
            <w:r w:rsidRPr="00C53A6B">
              <w:t>Nedostatek zařízení pro děti do tří let</w:t>
            </w:r>
          </w:p>
        </w:tc>
      </w:tr>
      <w:tr w:rsidR="00C53A6B" w:rsidRPr="00C53A6B" w:rsidTr="00177B56">
        <w:trPr>
          <w:trHeight w:val="227"/>
          <w:jc w:val="center"/>
        </w:trPr>
        <w:tc>
          <w:tcPr>
            <w:tcW w:w="1297" w:type="dxa"/>
            <w:shd w:val="clear" w:color="auto" w:fill="auto"/>
          </w:tcPr>
          <w:p w:rsidR="00C53A6B" w:rsidRPr="00C53A6B" w:rsidRDefault="00C53A6B" w:rsidP="00C53A6B">
            <w:pPr>
              <w:pStyle w:val="Nzev"/>
              <w:jc w:val="center"/>
              <w:rPr>
                <w:b/>
              </w:rPr>
            </w:pPr>
            <w:r w:rsidRPr="00C53A6B">
              <w:rPr>
                <w:b/>
              </w:rPr>
              <w:t>Cíle</w:t>
            </w:r>
          </w:p>
        </w:tc>
        <w:tc>
          <w:tcPr>
            <w:tcW w:w="3171" w:type="dxa"/>
            <w:shd w:val="clear" w:color="auto" w:fill="auto"/>
          </w:tcPr>
          <w:p w:rsidR="00C53A6B" w:rsidRPr="00C53A6B" w:rsidRDefault="00C53A6B" w:rsidP="00C53A6B">
            <w:pPr>
              <w:pStyle w:val="Nzev"/>
              <w:jc w:val="center"/>
            </w:pPr>
            <w:r w:rsidRPr="00C53A6B">
              <w:t>Vytvořit odloučené pracoviště mateřské školy pro pokrytí dočasně nedostatečných kapacit</w:t>
            </w:r>
          </w:p>
        </w:tc>
        <w:tc>
          <w:tcPr>
            <w:tcW w:w="2339" w:type="dxa"/>
            <w:shd w:val="clear" w:color="auto" w:fill="auto"/>
          </w:tcPr>
          <w:p w:rsidR="00C53A6B" w:rsidRPr="00C53A6B" w:rsidRDefault="00C53A6B" w:rsidP="00C53A6B">
            <w:pPr>
              <w:pStyle w:val="Nzev"/>
              <w:jc w:val="center"/>
            </w:pPr>
            <w:r w:rsidRPr="00C53A6B">
              <w:t>Zjistit výši zájmu o zařízení pro děti do tří let</w:t>
            </w:r>
          </w:p>
        </w:tc>
        <w:tc>
          <w:tcPr>
            <w:tcW w:w="2479" w:type="dxa"/>
            <w:shd w:val="clear" w:color="auto" w:fill="auto"/>
          </w:tcPr>
          <w:p w:rsidR="00C53A6B" w:rsidRPr="00C53A6B" w:rsidRDefault="00C53A6B" w:rsidP="00C53A6B">
            <w:pPr>
              <w:pStyle w:val="Nzev"/>
              <w:jc w:val="center"/>
            </w:pPr>
            <w:r w:rsidRPr="00C53A6B">
              <w:t>Zajištění prostor pro zřízení zařízení pro děti do tří let</w:t>
            </w:r>
          </w:p>
        </w:tc>
      </w:tr>
    </w:tbl>
    <w:p w:rsidR="00177B56" w:rsidRPr="00B14C54" w:rsidRDefault="00177B56" w:rsidP="00177B56">
      <w:pPr>
        <w:pStyle w:val="Nadpis3"/>
      </w:pPr>
      <w:bookmarkStart w:id="31" w:name="_Toc465592578"/>
      <w:r>
        <w:t>Strategie vzd</w:t>
      </w:r>
      <w:r>
        <w:rPr>
          <w:rFonts w:hint="eastAsia"/>
        </w:rPr>
        <w:t>ě</w:t>
      </w:r>
      <w:r>
        <w:t>lávání pro Kutnou Horu do roku 2018</w:t>
      </w:r>
      <w:bookmarkEnd w:id="31"/>
      <w:r w:rsidRPr="00B14C54">
        <w:t xml:space="preserve"> </w:t>
      </w:r>
    </w:p>
    <w:p w:rsidR="00AA36FA" w:rsidRDefault="009426BE" w:rsidP="00AA36FA">
      <w:pPr>
        <w:pStyle w:val="Bezmezer"/>
      </w:pPr>
      <w:r>
        <w:t>Poslední rozebíraný dokument se týká pouze samotného centra SO ORP, Kutné Hory. Z</w:t>
      </w:r>
      <w:r w:rsidRPr="009426BE">
        <w:t>pracovala</w:t>
      </w:r>
      <w:r>
        <w:t xml:space="preserve"> jej</w:t>
      </w:r>
      <w:r w:rsidRPr="009426BE">
        <w:t xml:space="preserve"> obecně prospěšná společnost </w:t>
      </w:r>
      <w:proofErr w:type="spellStart"/>
      <w:r w:rsidRPr="009426BE">
        <w:t>EDUin</w:t>
      </w:r>
      <w:proofErr w:type="spellEnd"/>
      <w:r w:rsidRPr="009426BE">
        <w:t xml:space="preserve"> v</w:t>
      </w:r>
      <w:r>
        <w:t xml:space="preserve"> </w:t>
      </w:r>
      <w:r w:rsidRPr="009426BE">
        <w:t>rámci projekt</w:t>
      </w:r>
      <w:r>
        <w:t>u Města vzdělávání</w:t>
      </w:r>
      <w:r w:rsidRPr="009426BE">
        <w:t>. Strategická část byla připravena a</w:t>
      </w:r>
      <w:r>
        <w:t xml:space="preserve"> </w:t>
      </w:r>
      <w:r w:rsidRPr="009426BE">
        <w:t>zpracována participativním přístupem přímým zapojením samotných aktérů ve vzdělávání.</w:t>
      </w:r>
      <w:r>
        <w:t xml:space="preserve"> Jedná se o stručný, přehledný „jízdní řád“</w:t>
      </w:r>
      <w:r w:rsidR="00AA36FA">
        <w:t xml:space="preserve"> postupných kroků v rámci rozvoje vzdělávání v Kutné Hoře. Tyto kroky jsou definovány pomocí pěti strategických cílů</w:t>
      </w:r>
      <w:r w:rsidR="00FC7E04">
        <w:t>, které dokument blíže specifikuje</w:t>
      </w:r>
      <w:r w:rsidR="00E6740D">
        <w:t xml:space="preserve">. Z hlediska MAP jsou podstatné čtyři </w:t>
      </w:r>
      <w:r w:rsidR="00E6740D" w:rsidRPr="00E6740D">
        <w:t>následující</w:t>
      </w:r>
      <w:r w:rsidR="00E6740D">
        <w:t>.</w:t>
      </w:r>
    </w:p>
    <w:p w:rsidR="00AA36FA" w:rsidRPr="00FC7E04" w:rsidRDefault="00AA36FA" w:rsidP="00AA36FA">
      <w:pPr>
        <w:pStyle w:val="Bezmezer"/>
        <w:rPr>
          <w:u w:val="single"/>
        </w:rPr>
      </w:pPr>
      <w:r w:rsidRPr="00FC7E04">
        <w:rPr>
          <w:u w:val="single"/>
        </w:rPr>
        <w:t xml:space="preserve">Spolupracujeme a síťujeme </w:t>
      </w:r>
    </w:p>
    <w:p w:rsidR="00FF49A2" w:rsidRPr="00537CB0" w:rsidRDefault="00FF49A2" w:rsidP="00537CB0">
      <w:pPr>
        <w:pStyle w:val="Bezmezer"/>
        <w:numPr>
          <w:ilvl w:val="0"/>
          <w:numId w:val="42"/>
        </w:numPr>
        <w:ind w:hanging="294"/>
      </w:pPr>
      <w:r w:rsidRPr="00537CB0">
        <w:t xml:space="preserve">Město </w:t>
      </w:r>
      <w:r w:rsidRPr="00484C3D">
        <w:rPr>
          <w:b/>
        </w:rPr>
        <w:t>podporuje diskuzi a spolupráci mezi jednotlivými vzdělávacími institucemi</w:t>
      </w:r>
      <w:r w:rsidRPr="00537CB0">
        <w:t xml:space="preserve"> ve městě </w:t>
      </w:r>
      <w:r w:rsidRPr="00484C3D">
        <w:rPr>
          <w:b/>
        </w:rPr>
        <w:t>a dalšími organizacemi</w:t>
      </w:r>
      <w:r w:rsidRPr="00537CB0">
        <w:t>. Také oni přijímají cíl vzájemné spolupráce jako svůj</w:t>
      </w:r>
      <w:r w:rsidR="00484C3D">
        <w:t xml:space="preserve"> závazek</w:t>
      </w:r>
    </w:p>
    <w:p w:rsidR="00537CB0" w:rsidRPr="00537CB0" w:rsidRDefault="00537CB0" w:rsidP="00537CB0">
      <w:pPr>
        <w:pStyle w:val="Bezmezer"/>
        <w:numPr>
          <w:ilvl w:val="0"/>
          <w:numId w:val="42"/>
        </w:numPr>
        <w:ind w:hanging="294"/>
        <w:rPr>
          <w:rFonts w:cs="Signika"/>
          <w:color w:val="211D1E"/>
        </w:rPr>
      </w:pPr>
      <w:r w:rsidRPr="00537CB0">
        <w:rPr>
          <w:rFonts w:cs="Signika"/>
          <w:bCs/>
          <w:color w:val="211D1E"/>
        </w:rPr>
        <w:t>Město, vzdělávací a</w:t>
      </w:r>
      <w:r w:rsidR="00484C3D">
        <w:rPr>
          <w:rFonts w:cs="Signika"/>
          <w:bCs/>
          <w:color w:val="211D1E"/>
        </w:rPr>
        <w:t xml:space="preserve"> </w:t>
      </w:r>
      <w:r w:rsidRPr="00537CB0">
        <w:rPr>
          <w:rFonts w:cs="Signika"/>
          <w:bCs/>
          <w:color w:val="211D1E"/>
        </w:rPr>
        <w:t xml:space="preserve">neziskové organizace </w:t>
      </w:r>
      <w:r w:rsidRPr="00484C3D">
        <w:rPr>
          <w:rFonts w:cs="Signika"/>
          <w:b/>
          <w:bCs/>
          <w:color w:val="211D1E"/>
        </w:rPr>
        <w:t>podporují mezigenerační a</w:t>
      </w:r>
      <w:r w:rsidR="00484C3D" w:rsidRPr="00484C3D">
        <w:rPr>
          <w:rFonts w:cs="Signika"/>
          <w:b/>
          <w:bCs/>
          <w:color w:val="211D1E"/>
        </w:rPr>
        <w:t xml:space="preserve"> </w:t>
      </w:r>
      <w:r w:rsidRPr="00484C3D">
        <w:rPr>
          <w:rFonts w:cs="Signika"/>
          <w:b/>
          <w:bCs/>
          <w:color w:val="211D1E"/>
        </w:rPr>
        <w:t>interkulturní spolupráci</w:t>
      </w:r>
    </w:p>
    <w:p w:rsidR="00537CB0" w:rsidRPr="00E6740D" w:rsidRDefault="00537CB0" w:rsidP="00537CB0">
      <w:pPr>
        <w:pStyle w:val="Bezmezer"/>
        <w:numPr>
          <w:ilvl w:val="0"/>
          <w:numId w:val="42"/>
        </w:numPr>
        <w:ind w:hanging="294"/>
        <w:rPr>
          <w:rFonts w:cs="Signika"/>
          <w:b/>
          <w:color w:val="211D1E"/>
        </w:rPr>
      </w:pPr>
      <w:r w:rsidRPr="00E6740D">
        <w:rPr>
          <w:rFonts w:cs="Signika"/>
          <w:b/>
          <w:bCs/>
          <w:color w:val="211D1E"/>
        </w:rPr>
        <w:t>Školy a</w:t>
      </w:r>
      <w:r w:rsidR="00E6740D" w:rsidRPr="00E6740D">
        <w:rPr>
          <w:rFonts w:cs="Signika"/>
          <w:b/>
          <w:bCs/>
          <w:color w:val="211D1E"/>
        </w:rPr>
        <w:t xml:space="preserve"> </w:t>
      </w:r>
      <w:r w:rsidRPr="00E6740D">
        <w:rPr>
          <w:rFonts w:cs="Signika"/>
          <w:b/>
          <w:bCs/>
          <w:color w:val="211D1E"/>
        </w:rPr>
        <w:t>další vzdělávací organizace aktivně s</w:t>
      </w:r>
      <w:r w:rsidR="00484C3D" w:rsidRPr="00E6740D">
        <w:rPr>
          <w:rFonts w:cs="Signika"/>
          <w:b/>
          <w:bCs/>
          <w:color w:val="211D1E"/>
        </w:rPr>
        <w:t>polupracují a</w:t>
      </w:r>
      <w:r w:rsidR="00E6740D" w:rsidRPr="00E6740D">
        <w:rPr>
          <w:rFonts w:cs="Signika"/>
          <w:b/>
          <w:bCs/>
          <w:color w:val="211D1E"/>
        </w:rPr>
        <w:t xml:space="preserve"> </w:t>
      </w:r>
      <w:r w:rsidR="00484C3D" w:rsidRPr="00E6740D">
        <w:rPr>
          <w:rFonts w:cs="Signika"/>
          <w:b/>
          <w:bCs/>
          <w:color w:val="211D1E"/>
        </w:rPr>
        <w:t>komunikují s</w:t>
      </w:r>
      <w:r w:rsidR="00E6740D" w:rsidRPr="00E6740D">
        <w:rPr>
          <w:rFonts w:cs="Signika"/>
          <w:b/>
          <w:bCs/>
          <w:color w:val="211D1E"/>
        </w:rPr>
        <w:t xml:space="preserve"> </w:t>
      </w:r>
      <w:r w:rsidR="00484C3D" w:rsidRPr="00E6740D">
        <w:rPr>
          <w:rFonts w:cs="Signika"/>
          <w:b/>
          <w:bCs/>
          <w:color w:val="211D1E"/>
        </w:rPr>
        <w:t>rodiči</w:t>
      </w:r>
    </w:p>
    <w:p w:rsidR="00537CB0" w:rsidRPr="00E6740D" w:rsidRDefault="00537CB0" w:rsidP="00537CB0">
      <w:pPr>
        <w:pStyle w:val="Bezmezer"/>
        <w:numPr>
          <w:ilvl w:val="0"/>
          <w:numId w:val="42"/>
        </w:numPr>
        <w:ind w:hanging="294"/>
        <w:rPr>
          <w:rFonts w:cs="Signika"/>
          <w:b/>
          <w:color w:val="211D1E"/>
        </w:rPr>
      </w:pPr>
      <w:r w:rsidRPr="00E6740D">
        <w:rPr>
          <w:rFonts w:cs="Signika"/>
          <w:b/>
          <w:bCs/>
          <w:color w:val="211D1E"/>
        </w:rPr>
        <w:t>Základní školy nejsou konkurenty, ale sp</w:t>
      </w:r>
      <w:r w:rsidR="00484C3D" w:rsidRPr="00E6740D">
        <w:rPr>
          <w:rFonts w:cs="Signika"/>
          <w:b/>
          <w:bCs/>
          <w:color w:val="211D1E"/>
        </w:rPr>
        <w:t>olupracovníky</w:t>
      </w:r>
    </w:p>
    <w:p w:rsidR="00AA36FA" w:rsidRPr="00FC7E04" w:rsidRDefault="00AA36FA" w:rsidP="00AA36FA">
      <w:pPr>
        <w:pStyle w:val="Bezmezer"/>
        <w:rPr>
          <w:u w:val="single"/>
        </w:rPr>
      </w:pPr>
      <w:r w:rsidRPr="00FC7E04">
        <w:rPr>
          <w:u w:val="single"/>
        </w:rPr>
        <w:t>Jsme informováni</w:t>
      </w:r>
    </w:p>
    <w:p w:rsidR="00FF49A2" w:rsidRPr="00537CB0" w:rsidRDefault="00FF49A2" w:rsidP="00537CB0">
      <w:pPr>
        <w:pStyle w:val="Bezmezer"/>
        <w:numPr>
          <w:ilvl w:val="0"/>
          <w:numId w:val="42"/>
        </w:numPr>
        <w:ind w:hanging="294"/>
      </w:pPr>
      <w:r w:rsidRPr="00537CB0">
        <w:t xml:space="preserve">Město </w:t>
      </w:r>
      <w:r w:rsidRPr="00E6740D">
        <w:rPr>
          <w:b/>
        </w:rPr>
        <w:t>pravidelně a přehledně informuje</w:t>
      </w:r>
      <w:r w:rsidRPr="00537CB0">
        <w:t xml:space="preserve"> o všech v</w:t>
      </w:r>
      <w:r w:rsidR="00484C3D">
        <w:t>zdělávacích aktivitách ve městě</w:t>
      </w:r>
    </w:p>
    <w:p w:rsidR="00537CB0" w:rsidRPr="00537CB0" w:rsidRDefault="00537CB0" w:rsidP="00537CB0">
      <w:pPr>
        <w:pStyle w:val="Bezmezer"/>
        <w:numPr>
          <w:ilvl w:val="0"/>
          <w:numId w:val="42"/>
        </w:numPr>
        <w:ind w:hanging="294"/>
        <w:rPr>
          <w:rFonts w:cs="Signika"/>
          <w:color w:val="211D1E"/>
        </w:rPr>
      </w:pPr>
      <w:r w:rsidRPr="00537CB0">
        <w:rPr>
          <w:rFonts w:cs="Signika"/>
          <w:bCs/>
          <w:color w:val="211D1E"/>
        </w:rPr>
        <w:t>Město veřejně propaguje možnosti a podmínky využívání všech prostor, které m</w:t>
      </w:r>
      <w:r w:rsidR="00484C3D">
        <w:rPr>
          <w:rFonts w:cs="Signika"/>
          <w:bCs/>
          <w:color w:val="211D1E"/>
        </w:rPr>
        <w:t>ohou být organizacemi využívány</w:t>
      </w:r>
    </w:p>
    <w:p w:rsidR="00537CB0" w:rsidRPr="00537CB0" w:rsidRDefault="00537CB0" w:rsidP="00537CB0">
      <w:pPr>
        <w:pStyle w:val="Bezmezer"/>
        <w:numPr>
          <w:ilvl w:val="0"/>
          <w:numId w:val="42"/>
        </w:numPr>
        <w:ind w:hanging="294"/>
        <w:rPr>
          <w:rFonts w:cs="Signika"/>
          <w:color w:val="211D1E"/>
        </w:rPr>
      </w:pPr>
      <w:r w:rsidRPr="00537CB0">
        <w:rPr>
          <w:rFonts w:cs="Signika"/>
          <w:bCs/>
          <w:color w:val="211D1E"/>
        </w:rPr>
        <w:t xml:space="preserve">Zástupci vzdělávacích organizací jsou komplexně </w:t>
      </w:r>
      <w:r w:rsidRPr="00E6740D">
        <w:rPr>
          <w:rFonts w:cs="Signika"/>
          <w:b/>
          <w:bCs/>
          <w:color w:val="211D1E"/>
        </w:rPr>
        <w:t>informováni o</w:t>
      </w:r>
      <w:r w:rsidRPr="00537CB0">
        <w:rPr>
          <w:rFonts w:cs="Signika"/>
          <w:bCs/>
          <w:color w:val="211D1E"/>
        </w:rPr>
        <w:t xml:space="preserve"> všech </w:t>
      </w:r>
      <w:r w:rsidRPr="00E6740D">
        <w:rPr>
          <w:rFonts w:cs="Signika"/>
          <w:b/>
          <w:bCs/>
          <w:color w:val="211D1E"/>
        </w:rPr>
        <w:t>možnostech spolupráce s</w:t>
      </w:r>
      <w:r w:rsidR="00E6740D" w:rsidRPr="00E6740D">
        <w:rPr>
          <w:rFonts w:cs="Signika"/>
          <w:b/>
          <w:bCs/>
          <w:color w:val="211D1E"/>
        </w:rPr>
        <w:t xml:space="preserve"> </w:t>
      </w:r>
      <w:r w:rsidRPr="00E6740D">
        <w:rPr>
          <w:rFonts w:cs="Signika"/>
          <w:b/>
          <w:bCs/>
          <w:color w:val="211D1E"/>
        </w:rPr>
        <w:t>návaznými organizacemi</w:t>
      </w:r>
    </w:p>
    <w:p w:rsidR="00AA36FA" w:rsidRPr="00FC7E04" w:rsidRDefault="00AA36FA" w:rsidP="00AA36FA">
      <w:pPr>
        <w:pStyle w:val="Bezmezer"/>
        <w:rPr>
          <w:u w:val="single"/>
        </w:rPr>
      </w:pPr>
      <w:r w:rsidRPr="00FC7E04">
        <w:rPr>
          <w:u w:val="single"/>
        </w:rPr>
        <w:t>Poskytujeme příležitosti všem</w:t>
      </w:r>
    </w:p>
    <w:p w:rsidR="00FF49A2" w:rsidRPr="00537CB0" w:rsidRDefault="00FF49A2" w:rsidP="00537CB0">
      <w:pPr>
        <w:pStyle w:val="Bezmezer"/>
        <w:numPr>
          <w:ilvl w:val="0"/>
          <w:numId w:val="42"/>
        </w:numPr>
        <w:ind w:hanging="294"/>
      </w:pPr>
      <w:r w:rsidRPr="00537CB0">
        <w:t>Město podporuje celoživotní vzdělávání vš</w:t>
      </w:r>
      <w:r w:rsidR="00484C3D">
        <w:t>ech skupin obyvatel</w:t>
      </w:r>
    </w:p>
    <w:p w:rsidR="00537CB0" w:rsidRPr="00E6740D" w:rsidRDefault="00537CB0" w:rsidP="00537CB0">
      <w:pPr>
        <w:pStyle w:val="Bezmezer"/>
        <w:numPr>
          <w:ilvl w:val="0"/>
          <w:numId w:val="42"/>
        </w:numPr>
        <w:ind w:hanging="294"/>
        <w:rPr>
          <w:rFonts w:cs="Signika"/>
          <w:b/>
          <w:color w:val="211D1E"/>
        </w:rPr>
      </w:pPr>
      <w:r w:rsidRPr="00537CB0">
        <w:rPr>
          <w:rFonts w:cs="Signika"/>
          <w:bCs/>
          <w:color w:val="211D1E"/>
        </w:rPr>
        <w:lastRenderedPageBreak/>
        <w:t>Město a</w:t>
      </w:r>
      <w:r w:rsidR="00E6740D">
        <w:rPr>
          <w:rFonts w:cs="Signika"/>
          <w:bCs/>
          <w:color w:val="211D1E"/>
        </w:rPr>
        <w:t xml:space="preserve"> </w:t>
      </w:r>
      <w:r w:rsidRPr="00537CB0">
        <w:rPr>
          <w:rFonts w:cs="Signika"/>
          <w:bCs/>
          <w:color w:val="211D1E"/>
        </w:rPr>
        <w:t xml:space="preserve">vzdělávací instituce </w:t>
      </w:r>
      <w:r w:rsidRPr="00E6740D">
        <w:rPr>
          <w:rFonts w:cs="Signika"/>
          <w:b/>
          <w:bCs/>
          <w:color w:val="211D1E"/>
        </w:rPr>
        <w:t>podporují využívání inkluz</w:t>
      </w:r>
      <w:r w:rsidR="00484C3D" w:rsidRPr="00E6740D">
        <w:rPr>
          <w:rFonts w:cs="Signika"/>
          <w:b/>
          <w:bCs/>
          <w:color w:val="211D1E"/>
        </w:rPr>
        <w:t>ivních a</w:t>
      </w:r>
      <w:r w:rsidR="00E6740D" w:rsidRPr="00E6740D">
        <w:rPr>
          <w:rFonts w:cs="Signika"/>
          <w:b/>
          <w:bCs/>
          <w:color w:val="211D1E"/>
        </w:rPr>
        <w:t xml:space="preserve"> </w:t>
      </w:r>
      <w:r w:rsidR="00484C3D" w:rsidRPr="00E6740D">
        <w:rPr>
          <w:rFonts w:cs="Signika"/>
          <w:b/>
          <w:bCs/>
          <w:color w:val="211D1E"/>
        </w:rPr>
        <w:t>individuálních přístupů</w:t>
      </w:r>
    </w:p>
    <w:p w:rsidR="00AA36FA" w:rsidRPr="00FC7E04" w:rsidRDefault="00AA36FA" w:rsidP="00AA36FA">
      <w:pPr>
        <w:pStyle w:val="Bezmezer"/>
        <w:rPr>
          <w:u w:val="single"/>
        </w:rPr>
      </w:pPr>
      <w:r w:rsidRPr="00FC7E04">
        <w:rPr>
          <w:u w:val="single"/>
        </w:rPr>
        <w:t>Inspirujeme se moderními trendy a dobrou praxí ostatních</w:t>
      </w:r>
    </w:p>
    <w:p w:rsidR="00537CB0" w:rsidRDefault="00537CB0" w:rsidP="00537CB0">
      <w:pPr>
        <w:pStyle w:val="Bezmezer"/>
        <w:numPr>
          <w:ilvl w:val="0"/>
          <w:numId w:val="42"/>
        </w:numPr>
        <w:ind w:hanging="294"/>
      </w:pPr>
      <w:r>
        <w:t xml:space="preserve">Město podporuje </w:t>
      </w:r>
      <w:r w:rsidRPr="00E6740D">
        <w:rPr>
          <w:b/>
        </w:rPr>
        <w:t>inovace, změny a</w:t>
      </w:r>
      <w:r w:rsidR="00E6740D" w:rsidRPr="00E6740D">
        <w:rPr>
          <w:b/>
        </w:rPr>
        <w:t xml:space="preserve"> </w:t>
      </w:r>
      <w:r w:rsidRPr="00E6740D">
        <w:rPr>
          <w:b/>
        </w:rPr>
        <w:t>přenos dobré praxe</w:t>
      </w:r>
    </w:p>
    <w:p w:rsidR="00537CB0" w:rsidRPr="002702F4" w:rsidRDefault="00537CB0" w:rsidP="00537CB0">
      <w:pPr>
        <w:pStyle w:val="Bezmezer"/>
        <w:numPr>
          <w:ilvl w:val="0"/>
          <w:numId w:val="42"/>
        </w:numPr>
        <w:ind w:hanging="294"/>
        <w:rPr>
          <w:b/>
        </w:rPr>
      </w:pPr>
      <w:r>
        <w:t xml:space="preserve">Všechny vzdělávací organizace zřizované městem mají zpracovanou svou </w:t>
      </w:r>
      <w:r w:rsidRPr="00E6740D">
        <w:rPr>
          <w:b/>
        </w:rPr>
        <w:t>vizi</w:t>
      </w:r>
      <w:r>
        <w:t>, která je v</w:t>
      </w:r>
      <w:r w:rsidR="00E6740D">
        <w:t xml:space="preserve"> </w:t>
      </w:r>
      <w:r>
        <w:t>souladu s</w:t>
      </w:r>
      <w:r w:rsidR="00E6740D">
        <w:t xml:space="preserve"> </w:t>
      </w:r>
      <w:r>
        <w:t>koncepcí města a</w:t>
      </w:r>
      <w:r w:rsidR="00E6740D">
        <w:t xml:space="preserve"> </w:t>
      </w:r>
      <w:r>
        <w:t>zavazují se proto k</w:t>
      </w:r>
      <w:r w:rsidR="00E6740D">
        <w:t xml:space="preserve"> </w:t>
      </w:r>
      <w:r w:rsidRPr="002702F4">
        <w:rPr>
          <w:b/>
        </w:rPr>
        <w:t>využívání ino</w:t>
      </w:r>
      <w:r w:rsidR="00484C3D" w:rsidRPr="002702F4">
        <w:rPr>
          <w:b/>
        </w:rPr>
        <w:t>vativních a</w:t>
      </w:r>
      <w:r w:rsidR="00E6740D" w:rsidRPr="002702F4">
        <w:rPr>
          <w:b/>
        </w:rPr>
        <w:t xml:space="preserve"> </w:t>
      </w:r>
      <w:r w:rsidR="00484C3D" w:rsidRPr="002702F4">
        <w:rPr>
          <w:b/>
        </w:rPr>
        <w:t>kreativních přístupů</w:t>
      </w:r>
    </w:p>
    <w:p w:rsidR="00CA118D" w:rsidRPr="002702F4" w:rsidRDefault="00844AB7" w:rsidP="00955CEC">
      <w:pPr>
        <w:pStyle w:val="Nadpis2"/>
      </w:pPr>
      <w:bookmarkStart w:id="32" w:name="_Toc465592579"/>
      <w:r w:rsidRPr="002702F4">
        <w:t>Vymezení problémových oblastí a klíčových problémů</w:t>
      </w:r>
      <w:bookmarkEnd w:id="32"/>
    </w:p>
    <w:p w:rsidR="002702F4" w:rsidRDefault="002702F4" w:rsidP="00955CEC">
      <w:pPr>
        <w:pStyle w:val="Bezmezer"/>
      </w:pPr>
      <w:r>
        <w:t>Tato kapitola shrnuje vše podstatné, co bylo v analytické části řečeno</w:t>
      </w:r>
      <w:r w:rsidR="002C6D1E">
        <w:t xml:space="preserve">, </w:t>
      </w:r>
      <w:r>
        <w:t>stanovuje konkrétní problémové oblasti</w:t>
      </w:r>
      <w:r w:rsidR="000A65A7">
        <w:t xml:space="preserve">, tyto vsazuje do stanovených povinných </w:t>
      </w:r>
      <w:r w:rsidR="003645F5">
        <w:t xml:space="preserve">a některých volitelných </w:t>
      </w:r>
      <w:r w:rsidR="000A65A7">
        <w:t>opatření</w:t>
      </w:r>
      <w:r>
        <w:t xml:space="preserve"> </w:t>
      </w:r>
      <w:r w:rsidR="000A65A7">
        <w:t>a</w:t>
      </w:r>
      <w:r>
        <w:t xml:space="preserve"> dále rozepisuje pomocí SWOT-3 analýzy.</w:t>
      </w:r>
      <w:r w:rsidR="000D6F4C">
        <w:t xml:space="preserve"> </w:t>
      </w:r>
    </w:p>
    <w:p w:rsidR="00CC1F9D" w:rsidRPr="002702F4" w:rsidRDefault="00CC1F9D" w:rsidP="00CC1F9D">
      <w:pPr>
        <w:pStyle w:val="Nadpis3"/>
      </w:pPr>
      <w:bookmarkStart w:id="33" w:name="_Toc465592580"/>
      <w:r>
        <w:t>problémové oblasti</w:t>
      </w:r>
      <w:bookmarkEnd w:id="33"/>
    </w:p>
    <w:p w:rsidR="00F46473" w:rsidRDefault="00F46473" w:rsidP="00955CEC">
      <w:pPr>
        <w:pStyle w:val="Bezmezer"/>
      </w:pPr>
      <w:r>
        <w:t xml:space="preserve">Na základě celkového vyhodnocení dotazníkového šetření, stanovení primárních potřeb a plánů i studia relevantních dokumentů byly </w:t>
      </w:r>
      <w:r w:rsidR="00F258CE">
        <w:t>určeny</w:t>
      </w:r>
      <w:r>
        <w:t xml:space="preserve"> následující problémové oblasti, které se </w:t>
      </w:r>
      <w:r w:rsidR="00F258CE">
        <w:t xml:space="preserve">dále </w:t>
      </w:r>
      <w:r>
        <w:t>skládají z klíčových problémů:</w:t>
      </w:r>
      <w:r w:rsidR="00665D5E">
        <w:t xml:space="preserve"> </w:t>
      </w:r>
    </w:p>
    <w:p w:rsidR="00F258CE" w:rsidRDefault="00F258CE" w:rsidP="00955CEC">
      <w:pPr>
        <w:pStyle w:val="Bezmezer"/>
        <w:rPr>
          <w:u w:val="single"/>
        </w:rPr>
      </w:pPr>
      <w:r w:rsidRPr="00F258CE">
        <w:rPr>
          <w:u w:val="single"/>
        </w:rPr>
        <w:t xml:space="preserve">kvalitní </w:t>
      </w:r>
      <w:r>
        <w:rPr>
          <w:u w:val="single"/>
        </w:rPr>
        <w:t xml:space="preserve">a </w:t>
      </w:r>
      <w:r w:rsidR="00D41021">
        <w:rPr>
          <w:u w:val="single"/>
        </w:rPr>
        <w:t>dostupné</w:t>
      </w:r>
      <w:r>
        <w:rPr>
          <w:u w:val="single"/>
        </w:rPr>
        <w:t xml:space="preserve"> </w:t>
      </w:r>
      <w:r w:rsidRPr="00F258CE">
        <w:rPr>
          <w:u w:val="single"/>
        </w:rPr>
        <w:t>zázemí</w:t>
      </w:r>
      <w:r w:rsidR="006A06EF">
        <w:rPr>
          <w:u w:val="single"/>
        </w:rPr>
        <w:t xml:space="preserve"> pro každého žáka</w:t>
      </w:r>
    </w:p>
    <w:p w:rsidR="00EA3846" w:rsidRDefault="00EA3846" w:rsidP="00A82936">
      <w:pPr>
        <w:pStyle w:val="Bezmezer"/>
        <w:numPr>
          <w:ilvl w:val="0"/>
          <w:numId w:val="43"/>
        </w:numPr>
        <w:ind w:hanging="294"/>
      </w:pPr>
      <w:r>
        <w:t xml:space="preserve">budova školského zařízení s nenáročnými energetickými vlastnostmi </w:t>
      </w:r>
    </w:p>
    <w:p w:rsidR="00EA3846" w:rsidRDefault="00EA3846" w:rsidP="00A82936">
      <w:pPr>
        <w:pStyle w:val="Bezmezer"/>
        <w:numPr>
          <w:ilvl w:val="0"/>
          <w:numId w:val="43"/>
        </w:numPr>
        <w:ind w:hanging="294"/>
      </w:pPr>
      <w:r>
        <w:t>odpovídající materiálové vybavení</w:t>
      </w:r>
    </w:p>
    <w:p w:rsidR="00F258CE" w:rsidRPr="00F258CE" w:rsidRDefault="00F258CE" w:rsidP="00A82936">
      <w:pPr>
        <w:pStyle w:val="Bezmezer"/>
        <w:numPr>
          <w:ilvl w:val="0"/>
          <w:numId w:val="43"/>
        </w:numPr>
        <w:ind w:hanging="294"/>
      </w:pPr>
      <w:r w:rsidRPr="00F258CE">
        <w:t>bezbariérový přístup</w:t>
      </w:r>
    </w:p>
    <w:p w:rsidR="00D41021" w:rsidRDefault="00D41021" w:rsidP="00A82936">
      <w:pPr>
        <w:pStyle w:val="Bezmezer"/>
        <w:numPr>
          <w:ilvl w:val="0"/>
          <w:numId w:val="43"/>
        </w:numPr>
        <w:ind w:hanging="294"/>
      </w:pPr>
      <w:r w:rsidRPr="00EE193B">
        <w:rPr>
          <w:rFonts w:hint="eastAsia"/>
        </w:rPr>
        <w:t>orientace na kvalitní a inkluzivní vzdělávání</w:t>
      </w:r>
    </w:p>
    <w:p w:rsidR="00D41021" w:rsidRDefault="00EA3846" w:rsidP="00955CEC">
      <w:pPr>
        <w:pStyle w:val="Bezmezer"/>
        <w:numPr>
          <w:ilvl w:val="0"/>
          <w:numId w:val="43"/>
        </w:numPr>
        <w:ind w:hanging="294"/>
      </w:pPr>
      <w:r>
        <w:t xml:space="preserve">snaha o </w:t>
      </w:r>
      <w:r>
        <w:rPr>
          <w:rFonts w:hint="eastAsia"/>
        </w:rPr>
        <w:t>rozvoj</w:t>
      </w:r>
      <w:r w:rsidR="00D41021" w:rsidRPr="00EE193B">
        <w:rPr>
          <w:rFonts w:hint="eastAsia"/>
        </w:rPr>
        <w:t xml:space="preserve"> potenciálu každého žáka</w:t>
      </w:r>
    </w:p>
    <w:p w:rsidR="00CC1F9D" w:rsidRPr="00F258CE" w:rsidRDefault="00F258CE" w:rsidP="00F258CE">
      <w:pPr>
        <w:pStyle w:val="Bezmezer"/>
        <w:rPr>
          <w:u w:val="single"/>
        </w:rPr>
      </w:pPr>
      <w:r w:rsidRPr="00F258CE">
        <w:rPr>
          <w:u w:val="single"/>
        </w:rPr>
        <w:t>erudovaný pedagogický sbor s chutí a možností dalšího profesního růstu</w:t>
      </w:r>
    </w:p>
    <w:p w:rsidR="00F258CE" w:rsidRDefault="008F609E" w:rsidP="00A82936">
      <w:pPr>
        <w:pStyle w:val="Bezmezer"/>
        <w:numPr>
          <w:ilvl w:val="0"/>
          <w:numId w:val="44"/>
        </w:numPr>
        <w:ind w:hanging="294"/>
      </w:pPr>
      <w:r>
        <w:t>adekvátní</w:t>
      </w:r>
      <w:r w:rsidR="006A06EF">
        <w:t xml:space="preserve"> rozsah pedagogického sboru</w:t>
      </w:r>
    </w:p>
    <w:p w:rsidR="006A06EF" w:rsidRDefault="006A06EF" w:rsidP="006A06EF">
      <w:pPr>
        <w:pStyle w:val="Bezmezer"/>
        <w:numPr>
          <w:ilvl w:val="0"/>
          <w:numId w:val="44"/>
        </w:numPr>
        <w:ind w:hanging="294"/>
      </w:pPr>
      <w:r>
        <w:t>adekvátní erudice pedagogického sboru</w:t>
      </w:r>
    </w:p>
    <w:p w:rsidR="00A82936" w:rsidRDefault="006A06EF" w:rsidP="00A82936">
      <w:pPr>
        <w:pStyle w:val="Bezmezer"/>
        <w:numPr>
          <w:ilvl w:val="0"/>
          <w:numId w:val="44"/>
        </w:numPr>
        <w:ind w:hanging="294"/>
      </w:pPr>
      <w:r>
        <w:t>možnosti dalšího vzdělávání se pro pedagogy včetně specializací</w:t>
      </w:r>
    </w:p>
    <w:p w:rsidR="006A06EF" w:rsidRDefault="006A06EF" w:rsidP="00A82936">
      <w:pPr>
        <w:pStyle w:val="Bezmezer"/>
        <w:numPr>
          <w:ilvl w:val="0"/>
          <w:numId w:val="44"/>
        </w:numPr>
        <w:ind w:hanging="294"/>
      </w:pPr>
      <w:r>
        <w:t>možnost náležitého ohodnocení pedagoga</w:t>
      </w:r>
    </w:p>
    <w:p w:rsidR="006A06EF" w:rsidRDefault="006A06EF" w:rsidP="00A82936">
      <w:pPr>
        <w:pStyle w:val="Bezmezer"/>
        <w:numPr>
          <w:ilvl w:val="0"/>
          <w:numId w:val="44"/>
        </w:numPr>
        <w:ind w:hanging="294"/>
      </w:pPr>
      <w:r>
        <w:t>odpovídající zázemí (materiálové i ideové) pro práci pedagoga</w:t>
      </w:r>
    </w:p>
    <w:p w:rsidR="00CC1F9D" w:rsidRPr="009A6AC4" w:rsidRDefault="006339C5" w:rsidP="00955CEC">
      <w:pPr>
        <w:pStyle w:val="Bezmezer"/>
        <w:rPr>
          <w:u w:val="single"/>
        </w:rPr>
      </w:pPr>
      <w:r w:rsidRPr="009A6AC4">
        <w:rPr>
          <w:u w:val="single"/>
        </w:rPr>
        <w:t>partnerství</w:t>
      </w:r>
      <w:r w:rsidR="009A6AC4" w:rsidRPr="009A6AC4">
        <w:rPr>
          <w:u w:val="single"/>
        </w:rPr>
        <w:t xml:space="preserve"> napříč vertikálními i horizontálními vztahy</w:t>
      </w:r>
    </w:p>
    <w:p w:rsidR="006A06EF" w:rsidRDefault="009C5B52" w:rsidP="006A06EF">
      <w:pPr>
        <w:pStyle w:val="Bezmezer"/>
        <w:numPr>
          <w:ilvl w:val="0"/>
          <w:numId w:val="45"/>
        </w:numPr>
        <w:ind w:hanging="294"/>
      </w:pPr>
      <w:r w:rsidRPr="00EE193B">
        <w:rPr>
          <w:rFonts w:hint="eastAsia"/>
        </w:rPr>
        <w:t xml:space="preserve">zlepšení spolupráce v území </w:t>
      </w:r>
      <w:r w:rsidR="006A06EF">
        <w:t>mezi školami, s obcí, s dalšími relevantními aktéry</w:t>
      </w:r>
    </w:p>
    <w:p w:rsidR="006A06EF" w:rsidRDefault="009C5B52" w:rsidP="00A82936">
      <w:pPr>
        <w:pStyle w:val="Bezmezer"/>
        <w:numPr>
          <w:ilvl w:val="0"/>
          <w:numId w:val="45"/>
        </w:numPr>
        <w:ind w:hanging="294"/>
      </w:pPr>
      <w:r w:rsidRPr="00EE193B">
        <w:rPr>
          <w:rFonts w:hint="eastAsia"/>
        </w:rPr>
        <w:t>využívání místních mimoškolních</w:t>
      </w:r>
      <w:r w:rsidR="006A06EF">
        <w:t>/soukromých</w:t>
      </w:r>
      <w:r w:rsidRPr="00EE193B">
        <w:rPr>
          <w:rFonts w:hint="eastAsia"/>
        </w:rPr>
        <w:t xml:space="preserve"> zdrojů pro rozvoj vzdělávání</w:t>
      </w:r>
      <w:r>
        <w:t xml:space="preserve"> </w:t>
      </w:r>
      <w:r w:rsidRPr="00EE193B">
        <w:rPr>
          <w:rFonts w:hint="eastAsia"/>
        </w:rPr>
        <w:t xml:space="preserve">dětí a žáků </w:t>
      </w:r>
    </w:p>
    <w:p w:rsidR="009D7D0D" w:rsidRDefault="006A06EF" w:rsidP="00A82936">
      <w:pPr>
        <w:pStyle w:val="Bezmezer"/>
        <w:numPr>
          <w:ilvl w:val="0"/>
          <w:numId w:val="45"/>
        </w:numPr>
        <w:ind w:hanging="294"/>
      </w:pPr>
      <w:r>
        <w:t xml:space="preserve">vzájemné </w:t>
      </w:r>
      <w:r w:rsidR="009C5B52" w:rsidRPr="00EE193B">
        <w:rPr>
          <w:rFonts w:hint="eastAsia"/>
        </w:rPr>
        <w:t>zlepšení spolupráce s</w:t>
      </w:r>
      <w:r>
        <w:t> </w:t>
      </w:r>
      <w:r w:rsidR="009C5B52" w:rsidRPr="00EE193B">
        <w:rPr>
          <w:rFonts w:hint="eastAsia"/>
        </w:rPr>
        <w:t>rodiči</w:t>
      </w:r>
    </w:p>
    <w:p w:rsidR="006A06EF" w:rsidRDefault="006A06EF" w:rsidP="00A82936">
      <w:pPr>
        <w:pStyle w:val="Bezmezer"/>
        <w:numPr>
          <w:ilvl w:val="0"/>
          <w:numId w:val="45"/>
        </w:numPr>
        <w:ind w:hanging="294"/>
      </w:pPr>
      <w:r>
        <w:t>zintenzivnění komunikace s hierarchicky vyššími institucemi (kraj, stát)</w:t>
      </w:r>
    </w:p>
    <w:p w:rsidR="006339C5" w:rsidRPr="007D5434" w:rsidRDefault="007D5434" w:rsidP="00955CEC">
      <w:pPr>
        <w:pStyle w:val="Bezmezer"/>
        <w:rPr>
          <w:u w:val="single"/>
        </w:rPr>
      </w:pPr>
      <w:r w:rsidRPr="007D5434">
        <w:rPr>
          <w:u w:val="single"/>
        </w:rPr>
        <w:t xml:space="preserve">dlouhodobá </w:t>
      </w:r>
      <w:r w:rsidR="006339C5" w:rsidRPr="007D5434">
        <w:rPr>
          <w:u w:val="single"/>
        </w:rPr>
        <w:t>vize</w:t>
      </w:r>
    </w:p>
    <w:p w:rsidR="009D42AF" w:rsidRDefault="009C5B52" w:rsidP="00A82936">
      <w:pPr>
        <w:pStyle w:val="Bezmezer"/>
        <w:numPr>
          <w:ilvl w:val="0"/>
          <w:numId w:val="45"/>
        </w:numPr>
        <w:ind w:hanging="294"/>
      </w:pPr>
      <w:r w:rsidRPr="00EE193B">
        <w:rPr>
          <w:rFonts w:hint="eastAsia"/>
        </w:rPr>
        <w:t>začleňování</w:t>
      </w:r>
      <w:r>
        <w:t xml:space="preserve"> </w:t>
      </w:r>
      <w:r w:rsidRPr="00EE193B">
        <w:rPr>
          <w:rFonts w:hint="eastAsia"/>
        </w:rPr>
        <w:t>dlouhodobého plánování jako nástroje ke kvalitnímu řízení škol</w:t>
      </w:r>
    </w:p>
    <w:p w:rsidR="006A06EF" w:rsidRDefault="006A06EF" w:rsidP="00A82936">
      <w:pPr>
        <w:pStyle w:val="Bezmezer"/>
        <w:numPr>
          <w:ilvl w:val="0"/>
          <w:numId w:val="45"/>
        </w:numPr>
        <w:ind w:hanging="294"/>
      </w:pPr>
      <w:r>
        <w:lastRenderedPageBreak/>
        <w:t>prostor pro postupné zavádění dlouhodobých, koncepčních změn</w:t>
      </w:r>
    </w:p>
    <w:p w:rsidR="006A06EF" w:rsidRDefault="006A06EF" w:rsidP="00A82936">
      <w:pPr>
        <w:pStyle w:val="Bezmezer"/>
        <w:numPr>
          <w:ilvl w:val="0"/>
          <w:numId w:val="45"/>
        </w:numPr>
        <w:ind w:hanging="294"/>
      </w:pPr>
      <w:r>
        <w:t>pravidelné konzultace vize na trase škola – obec - rodič</w:t>
      </w:r>
    </w:p>
    <w:p w:rsidR="006339C5" w:rsidRPr="007D5434" w:rsidRDefault="007D5434" w:rsidP="00955CEC">
      <w:pPr>
        <w:pStyle w:val="Bezmezer"/>
        <w:rPr>
          <w:u w:val="single"/>
        </w:rPr>
      </w:pPr>
      <w:r w:rsidRPr="007D5434">
        <w:rPr>
          <w:u w:val="single"/>
        </w:rPr>
        <w:t xml:space="preserve">systémová </w:t>
      </w:r>
      <w:r w:rsidR="006339C5" w:rsidRPr="007D5434">
        <w:rPr>
          <w:u w:val="single"/>
        </w:rPr>
        <w:t>podpora</w:t>
      </w:r>
    </w:p>
    <w:p w:rsidR="00EE193B" w:rsidRDefault="006A06EF" w:rsidP="00A82936">
      <w:pPr>
        <w:pStyle w:val="Bezmezer"/>
        <w:numPr>
          <w:ilvl w:val="0"/>
          <w:numId w:val="45"/>
        </w:numPr>
        <w:ind w:hanging="294"/>
      </w:pPr>
      <w:r>
        <w:t xml:space="preserve">dlouhodobá, trvanlivá vize státu jako nejvyššího garanta vzdělávání </w:t>
      </w:r>
    </w:p>
    <w:p w:rsidR="00234B4D" w:rsidRDefault="00234B4D" w:rsidP="00A82936">
      <w:pPr>
        <w:pStyle w:val="Bezmezer"/>
        <w:numPr>
          <w:ilvl w:val="0"/>
          <w:numId w:val="45"/>
        </w:numPr>
        <w:ind w:hanging="294"/>
      </w:pPr>
      <w:r>
        <w:t>ochota naslouchat zpětné vazbě</w:t>
      </w:r>
    </w:p>
    <w:p w:rsidR="006A06EF" w:rsidRDefault="00234B4D" w:rsidP="00A82936">
      <w:pPr>
        <w:pStyle w:val="Bezmezer"/>
        <w:numPr>
          <w:ilvl w:val="0"/>
          <w:numId w:val="45"/>
        </w:numPr>
        <w:ind w:hanging="294"/>
      </w:pPr>
      <w:r>
        <w:t>stabilní finanční zázemí</w:t>
      </w:r>
    </w:p>
    <w:p w:rsidR="003619EB" w:rsidRPr="002702F4" w:rsidRDefault="00234B4D" w:rsidP="00955CEC">
      <w:pPr>
        <w:pStyle w:val="Bezmezer"/>
        <w:numPr>
          <w:ilvl w:val="0"/>
          <w:numId w:val="45"/>
        </w:numPr>
        <w:ind w:hanging="294"/>
      </w:pPr>
      <w:r>
        <w:t>redukce srovnávacích mechanismů na účelné minimum a ponechání manévrovacího prostoru pro místně a časově specifické a odůvodněné konání jednotlivých škol</w:t>
      </w:r>
    </w:p>
    <w:p w:rsidR="00156BE6" w:rsidRPr="002702F4" w:rsidRDefault="00156BE6" w:rsidP="00B66D82">
      <w:pPr>
        <w:pStyle w:val="Nadpis3"/>
      </w:pPr>
      <w:bookmarkStart w:id="34" w:name="_Toc465592581"/>
      <w:r>
        <w:t>Swot-3 analýza</w:t>
      </w:r>
      <w:r w:rsidR="001F127C">
        <w:t xml:space="preserve"> problémových oblastí</w:t>
      </w:r>
      <w:bookmarkEnd w:id="34"/>
    </w:p>
    <w:p w:rsidR="00702685" w:rsidRDefault="00702685" w:rsidP="007D4994">
      <w:pPr>
        <w:pStyle w:val="Bezmezer"/>
      </w:pPr>
      <w:r>
        <w:t>Tato kapitola obsahuje dvě verze SWOT analýzy.</w:t>
      </w:r>
      <w:r w:rsidR="00B336F2">
        <w:t xml:space="preserve"> </w:t>
      </w:r>
      <w:r>
        <w:t>První verze vzešla přímo ze zpracované analýzy dotazníků, která tvoří rozhodující obsah dosavadní části dokumentu MAP</w:t>
      </w:r>
      <w:r w:rsidR="0051405F">
        <w:t xml:space="preserve"> Kutná Hora</w:t>
      </w:r>
      <w:r>
        <w:t xml:space="preserve">. Klíčová témata, u nichž stanovuje silné a slabé stránky, příležitosti a hrozby jsou ta stanovená v předchozí kapitole. Tuto SWOT analýzu zpracovával přímo realizační tým. </w:t>
      </w:r>
    </w:p>
    <w:p w:rsidR="00702685" w:rsidRDefault="007D4994" w:rsidP="007D4994">
      <w:pPr>
        <w:pStyle w:val="Bezmezer"/>
      </w:pPr>
      <w:r w:rsidRPr="007D4994">
        <w:t xml:space="preserve">Během 2. setkání Řídícího výboru MAP SO ORP Kutná Hora byla </w:t>
      </w:r>
      <w:r w:rsidR="00702685">
        <w:t xml:space="preserve">potom </w:t>
      </w:r>
      <w:r w:rsidRPr="007D4994">
        <w:t xml:space="preserve">ve spolupráci s pracovními skupinami pro mateřské školy a základní školy vypracována </w:t>
      </w:r>
      <w:r w:rsidR="00702685">
        <w:t>druhá verze SWOT-3 analýzy. Ta vychází z</w:t>
      </w:r>
      <w:r w:rsidRPr="007D4994">
        <w:t xml:space="preserve"> </w:t>
      </w:r>
      <w:r w:rsidR="00702685">
        <w:t>povinných</w:t>
      </w:r>
      <w:r>
        <w:t xml:space="preserve"> (MAP)</w:t>
      </w:r>
      <w:r w:rsidR="00702685">
        <w:t xml:space="preserve"> a doporučených</w:t>
      </w:r>
      <w:r w:rsidRPr="007D4994">
        <w:t xml:space="preserve"> </w:t>
      </w:r>
      <w:r>
        <w:t xml:space="preserve">(KAP) </w:t>
      </w:r>
      <w:r w:rsidRPr="007D4994">
        <w:t>opatření</w:t>
      </w:r>
      <w:r w:rsidR="00702685">
        <w:t xml:space="preserve"> stanovených základní metodikou pro tvorbu MAP. </w:t>
      </w:r>
    </w:p>
    <w:p w:rsidR="007D4994" w:rsidRDefault="00702685" w:rsidP="007D4994">
      <w:pPr>
        <w:pStyle w:val="Bezmezer"/>
      </w:pPr>
      <w:r>
        <w:t>V tomto dokumentu jsou z důvodu objektivity uvedeny obě verze. Pozitivem je, že obě verze jsou si po obsahové stránce blízké. Z této skutečnosti se dá usuzovat, že cesta vytyčená metodikou a cesta empirická, vzešlá z analýzy dotazníků k sobě mají blízko. Obě verze SWOT-3 analýzy</w:t>
      </w:r>
      <w:r w:rsidR="007D4994" w:rsidRPr="007D4994">
        <w:t xml:space="preserve"> </w:t>
      </w:r>
      <w:r>
        <w:t xml:space="preserve">se tak staly </w:t>
      </w:r>
      <w:r w:rsidR="007D4994" w:rsidRPr="007D4994">
        <w:t>jedním z</w:t>
      </w:r>
      <w:r>
        <w:t xml:space="preserve"> podstatných</w:t>
      </w:r>
      <w:r w:rsidR="007D4994" w:rsidRPr="007D4994">
        <w:t xml:space="preserve"> podkladů k vytvoření Strategického rámce MAP. </w:t>
      </w:r>
    </w:p>
    <w:p w:rsidR="00702685" w:rsidRDefault="00702685" w:rsidP="00EB1F1C">
      <w:pPr>
        <w:pStyle w:val="Bezmezer"/>
        <w:spacing w:before="200"/>
        <w:rPr>
          <w:u w:val="single"/>
        </w:rPr>
      </w:pPr>
      <w:r w:rsidRPr="00702685">
        <w:rPr>
          <w:u w:val="single"/>
        </w:rPr>
        <w:t>SWOT-3 vzešlá z dotazníkového šetření na MŠ a ZŠ</w:t>
      </w:r>
      <w:r>
        <w:rPr>
          <w:u w:val="single"/>
        </w:rPr>
        <w:t>, resp. výsledných problémových oblastí</w:t>
      </w:r>
      <w:r w:rsidRPr="00702685">
        <w:rPr>
          <w:u w:val="single"/>
        </w:rPr>
        <w:t>:</w:t>
      </w:r>
    </w:p>
    <w:p w:rsidR="00702685" w:rsidRPr="00702685" w:rsidRDefault="00702685" w:rsidP="00EB1F1C">
      <w:pPr>
        <w:spacing w:before="120" w:after="120" w:line="276" w:lineRule="auto"/>
        <w:jc w:val="both"/>
        <w:rPr>
          <w:caps w:val="0"/>
          <w:sz w:val="22"/>
          <w:u w:val="single"/>
        </w:rPr>
      </w:pPr>
      <w:r w:rsidRPr="00702685">
        <w:rPr>
          <w:caps w:val="0"/>
          <w:sz w:val="22"/>
          <w:u w:val="single"/>
        </w:rPr>
        <w:t>kvalitní a dostupné zázemí pro každého žáka</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02685" w:rsidRPr="00702685" w:rsidTr="002C7F8C">
        <w:trPr>
          <w:trHeight w:val="340"/>
        </w:trPr>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slabé stránky</w:t>
            </w:r>
          </w:p>
        </w:tc>
      </w:tr>
      <w:tr w:rsidR="00702685" w:rsidRPr="00702685" w:rsidTr="002C7F8C">
        <w:trPr>
          <w:trHeight w:val="340"/>
        </w:trPr>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možnost vzdělávat se/ rozvíjet se bez rozdílu</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možnost začlenit se/ být v kontaktu s vrstevníky</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proofErr w:type="spellStart"/>
            <w:r w:rsidRPr="00702685">
              <w:rPr>
                <w:rFonts w:eastAsiaTheme="majorEastAsia" w:cstheme="majorBidi"/>
                <w:caps w:val="0"/>
                <w:spacing w:val="5"/>
                <w:kern w:val="28"/>
                <w:sz w:val="18"/>
                <w:szCs w:val="52"/>
              </w:rPr>
              <w:t>sebepotvrzení</w:t>
            </w:r>
            <w:proofErr w:type="spellEnd"/>
            <w:r w:rsidRPr="00702685">
              <w:rPr>
                <w:rFonts w:eastAsiaTheme="majorEastAsia" w:cstheme="majorBidi"/>
                <w:caps w:val="0"/>
                <w:spacing w:val="5"/>
                <w:kern w:val="28"/>
                <w:sz w:val="18"/>
                <w:szCs w:val="52"/>
              </w:rPr>
              <w:t xml:space="preserve"> žáka</w:t>
            </w:r>
          </w:p>
        </w:tc>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finanční náročnost</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personální náročnost</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časová náročnost</w:t>
            </w:r>
          </w:p>
        </w:tc>
      </w:tr>
      <w:tr w:rsidR="00702685" w:rsidRPr="00702685" w:rsidTr="002C7F8C">
        <w:trPr>
          <w:trHeight w:val="340"/>
        </w:trPr>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hrozby</w:t>
            </w:r>
          </w:p>
        </w:tc>
      </w:tr>
      <w:tr w:rsidR="00702685" w:rsidRPr="00702685" w:rsidTr="002C7F8C">
        <w:trPr>
          <w:trHeight w:val="340"/>
        </w:trPr>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kultivace a duševní obohacení celé společnosti</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růst chuti žáků navštěvovat instituci</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růst chuti učitelů k výuce</w:t>
            </w:r>
          </w:p>
        </w:tc>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nedostatečné čerpání dotačních titulů</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nárůst rozdílů mezi školami na základě rozdílných finančních situací</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nedostatek učitelů/osobních asistentů</w:t>
            </w:r>
          </w:p>
        </w:tc>
      </w:tr>
    </w:tbl>
    <w:p w:rsidR="00702685" w:rsidRPr="00702685" w:rsidRDefault="00702685" w:rsidP="00EB1F1C">
      <w:pPr>
        <w:spacing w:before="200" w:after="120" w:line="276" w:lineRule="auto"/>
        <w:jc w:val="both"/>
        <w:rPr>
          <w:caps w:val="0"/>
          <w:sz w:val="22"/>
          <w:u w:val="single"/>
        </w:rPr>
      </w:pPr>
      <w:r w:rsidRPr="00702685">
        <w:rPr>
          <w:caps w:val="0"/>
          <w:sz w:val="22"/>
          <w:u w:val="single"/>
        </w:rPr>
        <w:t>erudovaný pedagogický sbor s chutí a možností dalšího profesního růstu</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02685" w:rsidRPr="00702685" w:rsidTr="002C7F8C">
        <w:trPr>
          <w:trHeight w:val="340"/>
        </w:trPr>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slabé stránky</w:t>
            </w:r>
          </w:p>
        </w:tc>
      </w:tr>
      <w:tr w:rsidR="00702685" w:rsidRPr="00702685" w:rsidTr="002C7F8C">
        <w:trPr>
          <w:trHeight w:val="340"/>
        </w:trPr>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pozitivní vzor pro děti/ žáky</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přesah aktivit mimo školu</w:t>
            </w:r>
          </w:p>
          <w:p w:rsidR="00EB1F1C" w:rsidRDefault="00702685" w:rsidP="00EB1F1C">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hlubší vhled do životní situace každého dítěte</w:t>
            </w:r>
          </w:p>
          <w:p w:rsidR="00EB1F1C" w:rsidRPr="00702685" w:rsidRDefault="00EB1F1C" w:rsidP="00EB1F1C">
            <w:pPr>
              <w:spacing w:before="40" w:after="0" w:line="240" w:lineRule="auto"/>
              <w:ind w:left="284"/>
              <w:jc w:val="left"/>
              <w:rPr>
                <w:rFonts w:eastAsiaTheme="majorEastAsia" w:cstheme="majorBidi"/>
                <w:caps w:val="0"/>
                <w:spacing w:val="5"/>
                <w:kern w:val="28"/>
                <w:sz w:val="18"/>
                <w:szCs w:val="52"/>
              </w:rPr>
            </w:pPr>
          </w:p>
        </w:tc>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finanční náročnost</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nutná časová i personální flexibilita školy</w:t>
            </w:r>
          </w:p>
          <w:p w:rsid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rozdíl v kvalitě školitelů</w:t>
            </w:r>
          </w:p>
          <w:p w:rsidR="00EB1F1C" w:rsidRDefault="00EB1F1C" w:rsidP="00EB1F1C">
            <w:pPr>
              <w:spacing w:before="40" w:after="0" w:line="240" w:lineRule="auto"/>
              <w:ind w:left="284"/>
              <w:jc w:val="left"/>
              <w:rPr>
                <w:rFonts w:eastAsiaTheme="majorEastAsia" w:cstheme="majorBidi"/>
                <w:caps w:val="0"/>
                <w:spacing w:val="5"/>
                <w:kern w:val="28"/>
                <w:sz w:val="18"/>
                <w:szCs w:val="52"/>
              </w:rPr>
            </w:pPr>
          </w:p>
          <w:p w:rsidR="00EB1F1C" w:rsidRPr="00702685" w:rsidRDefault="00EB1F1C" w:rsidP="00EB1F1C">
            <w:pPr>
              <w:spacing w:before="40" w:after="0" w:line="240" w:lineRule="auto"/>
              <w:ind w:left="284"/>
              <w:jc w:val="left"/>
              <w:rPr>
                <w:rFonts w:eastAsiaTheme="majorEastAsia" w:cstheme="majorBidi"/>
                <w:caps w:val="0"/>
                <w:spacing w:val="5"/>
                <w:kern w:val="28"/>
                <w:sz w:val="18"/>
                <w:szCs w:val="52"/>
              </w:rPr>
            </w:pPr>
          </w:p>
        </w:tc>
      </w:tr>
      <w:tr w:rsidR="00702685" w:rsidRPr="00702685" w:rsidTr="002C7F8C">
        <w:trPr>
          <w:trHeight w:val="340"/>
        </w:trPr>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lastRenderedPageBreak/>
              <w:t>příležitosti</w:t>
            </w:r>
          </w:p>
        </w:tc>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hrozby</w:t>
            </w:r>
          </w:p>
        </w:tc>
      </w:tr>
      <w:tr w:rsidR="00702685" w:rsidRPr="00702685" w:rsidTr="002C7F8C">
        <w:trPr>
          <w:trHeight w:val="340"/>
        </w:trPr>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růst prestiže školy</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prevence rizikového chování</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kreativita v přístupu ke vzdělávání</w:t>
            </w:r>
          </w:p>
        </w:tc>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 xml:space="preserve">nízká úroveň </w:t>
            </w:r>
            <w:proofErr w:type="spellStart"/>
            <w:r w:rsidRPr="00702685">
              <w:rPr>
                <w:rFonts w:eastAsiaTheme="majorEastAsia" w:cstheme="majorBidi"/>
                <w:caps w:val="0"/>
                <w:spacing w:val="5"/>
                <w:kern w:val="28"/>
                <w:sz w:val="18"/>
                <w:szCs w:val="52"/>
              </w:rPr>
              <w:t>pedag</w:t>
            </w:r>
            <w:proofErr w:type="spellEnd"/>
            <w:r w:rsidRPr="00702685">
              <w:rPr>
                <w:rFonts w:eastAsiaTheme="majorEastAsia" w:cstheme="majorBidi"/>
                <w:caps w:val="0"/>
                <w:spacing w:val="5"/>
                <w:kern w:val="28"/>
                <w:sz w:val="18"/>
                <w:szCs w:val="52"/>
              </w:rPr>
              <w:t>. vzdělávání v Česku</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konflikt mezi přístupy ke vzdělávání</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„překopání“ systému</w:t>
            </w:r>
          </w:p>
        </w:tc>
      </w:tr>
    </w:tbl>
    <w:p w:rsidR="00702685" w:rsidRPr="00702685" w:rsidRDefault="00702685" w:rsidP="00EB1F1C">
      <w:pPr>
        <w:spacing w:before="200" w:after="120" w:line="276" w:lineRule="auto"/>
        <w:jc w:val="both"/>
        <w:rPr>
          <w:caps w:val="0"/>
          <w:sz w:val="22"/>
          <w:u w:val="single"/>
        </w:rPr>
      </w:pPr>
      <w:r w:rsidRPr="00702685">
        <w:rPr>
          <w:caps w:val="0"/>
          <w:sz w:val="22"/>
          <w:u w:val="single"/>
        </w:rPr>
        <w:t>partnerství napříč vertikálními i horizontálními vztahy</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02685" w:rsidRPr="00702685" w:rsidTr="002C7F8C">
        <w:trPr>
          <w:trHeight w:val="340"/>
        </w:trPr>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slabé stránky</w:t>
            </w:r>
          </w:p>
        </w:tc>
      </w:tr>
      <w:tr w:rsidR="00702685" w:rsidRPr="00702685" w:rsidTr="002C7F8C">
        <w:trPr>
          <w:trHeight w:val="340"/>
        </w:trPr>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otevřená atmosféra ve škole</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širší možnosti komunikace školy s okolními institucemi</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přehled kraje jako garanta o chodu vzdělávání</w:t>
            </w:r>
          </w:p>
        </w:tc>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nutnost rozsáhlé koordinace</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časová náročnost pro všechny strany</w:t>
            </w:r>
          </w:p>
        </w:tc>
      </w:tr>
      <w:tr w:rsidR="00702685" w:rsidRPr="00702685" w:rsidTr="002C7F8C">
        <w:trPr>
          <w:trHeight w:val="340"/>
        </w:trPr>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hrozby</w:t>
            </w:r>
          </w:p>
        </w:tc>
      </w:tr>
      <w:tr w:rsidR="00702685" w:rsidRPr="00702685" w:rsidTr="002C7F8C">
        <w:trPr>
          <w:trHeight w:val="340"/>
        </w:trPr>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rozvoj regionu jako celku</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rozšíření obzorů žáků</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příprava potenciálních zaměstnanců</w:t>
            </w:r>
          </w:p>
        </w:tc>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neochota z jedné i druhé strany</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omezený počet institucí na venkově</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omezené možnosti spolupráce z hlediska zákona (?)</w:t>
            </w:r>
          </w:p>
        </w:tc>
      </w:tr>
    </w:tbl>
    <w:p w:rsidR="00702685" w:rsidRPr="00702685" w:rsidRDefault="00702685" w:rsidP="00EB1F1C">
      <w:pPr>
        <w:spacing w:before="200" w:after="120" w:line="276" w:lineRule="auto"/>
        <w:jc w:val="both"/>
        <w:rPr>
          <w:caps w:val="0"/>
          <w:sz w:val="22"/>
          <w:u w:val="single"/>
        </w:rPr>
      </w:pPr>
      <w:r w:rsidRPr="00702685">
        <w:rPr>
          <w:caps w:val="0"/>
          <w:sz w:val="22"/>
          <w:u w:val="single"/>
        </w:rPr>
        <w:t>dlouhodobá vize (sytému vzdělávání)</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02685" w:rsidRPr="00702685" w:rsidTr="002C7F8C">
        <w:trPr>
          <w:trHeight w:val="340"/>
        </w:trPr>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slabé stránky</w:t>
            </w:r>
          </w:p>
        </w:tc>
      </w:tr>
      <w:tr w:rsidR="00702685" w:rsidRPr="00702685" w:rsidTr="002C7F8C">
        <w:trPr>
          <w:trHeight w:val="340"/>
        </w:trPr>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stanovená pravidla, hřiště, sudí i hráči</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pozitivní impuls společného cíle</w:t>
            </w:r>
          </w:p>
        </w:tc>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špatně nastavená viz</w:t>
            </w:r>
            <w:r>
              <w:rPr>
                <w:rFonts w:eastAsiaTheme="majorEastAsia" w:cstheme="majorBidi"/>
                <w:caps w:val="0"/>
                <w:spacing w:val="5"/>
                <w:kern w:val="28"/>
                <w:sz w:val="18"/>
                <w:szCs w:val="52"/>
              </w:rPr>
              <w:t>e</w:t>
            </w:r>
          </w:p>
        </w:tc>
      </w:tr>
      <w:tr w:rsidR="00702685" w:rsidRPr="00702685" w:rsidTr="002C7F8C">
        <w:trPr>
          <w:trHeight w:val="340"/>
        </w:trPr>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hrozby</w:t>
            </w:r>
          </w:p>
        </w:tc>
      </w:tr>
      <w:tr w:rsidR="00702685" w:rsidRPr="00702685" w:rsidTr="002C7F8C">
        <w:trPr>
          <w:trHeight w:val="340"/>
        </w:trPr>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celospolečensky prospěšná záležitost</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oživení školního prostředí</w:t>
            </w:r>
          </w:p>
          <w:p w:rsidR="00702685" w:rsidRPr="00702685" w:rsidRDefault="00702685" w:rsidP="00702685">
            <w:pPr>
              <w:spacing w:before="40" w:after="0" w:line="240" w:lineRule="auto"/>
              <w:jc w:val="left"/>
              <w:rPr>
                <w:rFonts w:eastAsiaTheme="majorEastAsia" w:cstheme="majorBidi"/>
                <w:caps w:val="0"/>
                <w:spacing w:val="5"/>
                <w:kern w:val="28"/>
                <w:sz w:val="18"/>
                <w:szCs w:val="52"/>
              </w:rPr>
            </w:pPr>
          </w:p>
        </w:tc>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opětovná změna s nástupem jiné politické garnitury</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proofErr w:type="spellStart"/>
            <w:r w:rsidRPr="00702685">
              <w:rPr>
                <w:rFonts w:eastAsiaTheme="majorEastAsia" w:cstheme="majorBidi"/>
                <w:caps w:val="0"/>
                <w:spacing w:val="5"/>
                <w:kern w:val="28"/>
                <w:sz w:val="18"/>
                <w:szCs w:val="52"/>
              </w:rPr>
              <w:t>nepřijmutí</w:t>
            </w:r>
            <w:proofErr w:type="spellEnd"/>
            <w:r w:rsidRPr="00702685">
              <w:rPr>
                <w:rFonts w:eastAsiaTheme="majorEastAsia" w:cstheme="majorBidi"/>
                <w:caps w:val="0"/>
                <w:spacing w:val="5"/>
                <w:kern w:val="28"/>
                <w:sz w:val="18"/>
                <w:szCs w:val="52"/>
              </w:rPr>
              <w:t xml:space="preserve"> vize školami</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špatně nastavená vize</w:t>
            </w:r>
          </w:p>
        </w:tc>
      </w:tr>
    </w:tbl>
    <w:p w:rsidR="00702685" w:rsidRPr="00702685" w:rsidRDefault="00702685" w:rsidP="00EB1F1C">
      <w:pPr>
        <w:spacing w:before="200" w:after="120" w:line="276" w:lineRule="auto"/>
        <w:jc w:val="both"/>
        <w:rPr>
          <w:caps w:val="0"/>
          <w:sz w:val="22"/>
          <w:u w:val="single"/>
        </w:rPr>
      </w:pPr>
      <w:r w:rsidRPr="00702685">
        <w:rPr>
          <w:caps w:val="0"/>
          <w:sz w:val="22"/>
          <w:u w:val="single"/>
        </w:rPr>
        <w:t>systémová podpora</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02685" w:rsidRPr="00702685" w:rsidTr="002C7F8C">
        <w:trPr>
          <w:trHeight w:val="340"/>
        </w:trPr>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slabé stránky</w:t>
            </w:r>
          </w:p>
        </w:tc>
      </w:tr>
      <w:tr w:rsidR="00702685" w:rsidRPr="00702685" w:rsidTr="002C7F8C">
        <w:trPr>
          <w:trHeight w:val="340"/>
        </w:trPr>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základní kámen dlouhodobé práce</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jistota finančního zázemí</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ujasnění metodických nesrovnalostí ve vzdělávání</w:t>
            </w:r>
          </w:p>
        </w:tc>
        <w:tc>
          <w:tcPr>
            <w:tcW w:w="4605" w:type="dxa"/>
            <w:tcBorders>
              <w:top w:val="single" w:sz="4" w:space="0" w:color="auto"/>
              <w:bottom w:val="single" w:sz="18" w:space="0" w:color="auto"/>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 xml:space="preserve">chiméra samospasitelnosti „ze </w:t>
            </w:r>
            <w:proofErr w:type="spellStart"/>
            <w:r w:rsidRPr="00702685">
              <w:rPr>
                <w:rFonts w:eastAsiaTheme="majorEastAsia" w:cstheme="majorBidi"/>
                <w:caps w:val="0"/>
                <w:spacing w:val="5"/>
                <w:kern w:val="28"/>
                <w:sz w:val="18"/>
                <w:szCs w:val="52"/>
              </w:rPr>
              <w:t>zhora</w:t>
            </w:r>
            <w:proofErr w:type="spellEnd"/>
            <w:r w:rsidRPr="00702685">
              <w:rPr>
                <w:rFonts w:eastAsiaTheme="majorEastAsia" w:cstheme="majorBidi"/>
                <w:caps w:val="0"/>
                <w:spacing w:val="5"/>
                <w:kern w:val="28"/>
                <w:sz w:val="18"/>
                <w:szCs w:val="52"/>
              </w:rPr>
              <w:t>“</w:t>
            </w:r>
          </w:p>
        </w:tc>
      </w:tr>
      <w:tr w:rsidR="00702685" w:rsidRPr="00702685" w:rsidTr="002C7F8C">
        <w:trPr>
          <w:trHeight w:val="340"/>
        </w:trPr>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02685" w:rsidRPr="00702685" w:rsidRDefault="00702685" w:rsidP="00702685">
            <w:pPr>
              <w:spacing w:before="40" w:after="0" w:line="240" w:lineRule="auto"/>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hrozby</w:t>
            </w:r>
          </w:p>
        </w:tc>
      </w:tr>
      <w:tr w:rsidR="00702685" w:rsidRPr="00702685" w:rsidTr="002C7F8C">
        <w:trPr>
          <w:trHeight w:val="340"/>
        </w:trPr>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dlouhodobé ztišení ožehavého tématu ve společnosti a čas na práci</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stabilizace situace na školách</w:t>
            </w:r>
          </w:p>
        </w:tc>
        <w:tc>
          <w:tcPr>
            <w:tcW w:w="4605" w:type="dxa"/>
            <w:tcBorders>
              <w:top w:val="single" w:sz="4" w:space="0" w:color="auto"/>
              <w:bottom w:val="nil"/>
            </w:tcBorders>
            <w:vAlign w:val="center"/>
          </w:tcPr>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absence odpovídající odezvy ze škol, úřadů</w:t>
            </w:r>
          </w:p>
          <w:p w:rsidR="00702685" w:rsidRPr="00702685" w:rsidRDefault="00702685" w:rsidP="00702685">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02685">
              <w:rPr>
                <w:rFonts w:eastAsiaTheme="majorEastAsia" w:cstheme="majorBidi"/>
                <w:caps w:val="0"/>
                <w:spacing w:val="5"/>
                <w:kern w:val="28"/>
                <w:sz w:val="18"/>
                <w:szCs w:val="52"/>
              </w:rPr>
              <w:t>špatně nastavená podpora</w:t>
            </w:r>
          </w:p>
          <w:p w:rsidR="00702685" w:rsidRPr="00702685" w:rsidRDefault="00702685" w:rsidP="00702685">
            <w:pPr>
              <w:spacing w:before="40" w:after="0" w:line="240" w:lineRule="auto"/>
              <w:jc w:val="left"/>
              <w:rPr>
                <w:rFonts w:eastAsiaTheme="majorEastAsia" w:cstheme="majorBidi"/>
                <w:caps w:val="0"/>
                <w:spacing w:val="5"/>
                <w:kern w:val="28"/>
                <w:sz w:val="18"/>
                <w:szCs w:val="52"/>
              </w:rPr>
            </w:pPr>
          </w:p>
        </w:tc>
      </w:tr>
    </w:tbl>
    <w:p w:rsidR="00702685" w:rsidRPr="00702685" w:rsidRDefault="00702685" w:rsidP="00EB1F1C">
      <w:pPr>
        <w:pStyle w:val="Bezmezer"/>
        <w:spacing w:before="240"/>
        <w:rPr>
          <w:u w:val="single"/>
        </w:rPr>
      </w:pPr>
      <w:r w:rsidRPr="00702685">
        <w:rPr>
          <w:u w:val="single"/>
        </w:rPr>
        <w:t xml:space="preserve">SWOT-3 vzešlá </w:t>
      </w:r>
      <w:r>
        <w:rPr>
          <w:u w:val="single"/>
        </w:rPr>
        <w:t xml:space="preserve">z </w:t>
      </w:r>
      <w:r w:rsidRPr="00702685">
        <w:rPr>
          <w:u w:val="single"/>
        </w:rPr>
        <w:t xml:space="preserve">2. setkání </w:t>
      </w:r>
      <w:r w:rsidRPr="00702685">
        <w:rPr>
          <w:rFonts w:hint="eastAsia"/>
          <w:u w:val="single"/>
        </w:rPr>
        <w:t>Ří</w:t>
      </w:r>
      <w:r w:rsidRPr="00702685">
        <w:rPr>
          <w:u w:val="single"/>
        </w:rPr>
        <w:t>dící</w:t>
      </w:r>
      <w:r>
        <w:rPr>
          <w:u w:val="single"/>
        </w:rPr>
        <w:t xml:space="preserve">ho výboru MAP SO ORP Kutná Hora týkající se přímo </w:t>
      </w:r>
      <w:r w:rsidRPr="00702685">
        <w:rPr>
          <w:u w:val="single"/>
        </w:rPr>
        <w:t>povinných (MAP) a doporu</w:t>
      </w:r>
      <w:r w:rsidRPr="00702685">
        <w:rPr>
          <w:rFonts w:hint="eastAsia"/>
          <w:u w:val="single"/>
        </w:rPr>
        <w:t>č</w:t>
      </w:r>
      <w:r w:rsidRPr="00702685">
        <w:rPr>
          <w:u w:val="single"/>
        </w:rPr>
        <w:t>ených (KAP) opat</w:t>
      </w:r>
      <w:r w:rsidRPr="00702685">
        <w:rPr>
          <w:rFonts w:hint="eastAsia"/>
          <w:u w:val="single"/>
        </w:rPr>
        <w:t>ř</w:t>
      </w:r>
      <w:r w:rsidRPr="00702685">
        <w:rPr>
          <w:u w:val="single"/>
        </w:rPr>
        <w:t>ení stanovených základní metodikou pro tvorbu MAP:</w:t>
      </w:r>
    </w:p>
    <w:p w:rsidR="007D4994" w:rsidRPr="00702685" w:rsidRDefault="007D4994" w:rsidP="007D4994">
      <w:pPr>
        <w:pStyle w:val="Bezmezer"/>
        <w:rPr>
          <w:b/>
        </w:rPr>
      </w:pPr>
      <w:r w:rsidRPr="00702685">
        <w:rPr>
          <w:b/>
        </w:rPr>
        <w:t>MATEŘSKÉ ŠKOLY</w:t>
      </w:r>
    </w:p>
    <w:p w:rsidR="007D4994" w:rsidRPr="007D4994" w:rsidRDefault="007D4994" w:rsidP="007D4994">
      <w:pPr>
        <w:spacing w:before="120" w:after="120" w:line="276" w:lineRule="auto"/>
        <w:jc w:val="both"/>
        <w:rPr>
          <w:caps w:val="0"/>
          <w:sz w:val="22"/>
        </w:rPr>
      </w:pPr>
      <w:r w:rsidRPr="007D4994">
        <w:rPr>
          <w:caps w:val="0"/>
          <w:sz w:val="22"/>
        </w:rPr>
        <w:t>MAP:</w:t>
      </w:r>
    </w:p>
    <w:p w:rsidR="007D4994" w:rsidRPr="007D4994" w:rsidRDefault="007D4994" w:rsidP="00133557">
      <w:pPr>
        <w:spacing w:before="120" w:after="120" w:line="276" w:lineRule="auto"/>
        <w:jc w:val="both"/>
        <w:rPr>
          <w:caps w:val="0"/>
          <w:sz w:val="22"/>
          <w:u w:val="single"/>
        </w:rPr>
      </w:pPr>
      <w:r w:rsidRPr="007D4994">
        <w:rPr>
          <w:caps w:val="0"/>
          <w:sz w:val="22"/>
          <w:u w:val="single"/>
        </w:rPr>
        <w:t>Předškolní vzdělávání a péče: dostupnost – inkluze - kvalita</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kvalifikovaní pedagogové s chutí pracovat</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dostatek předškolních zařízení vzhledem </w:t>
            </w:r>
            <w:r w:rsidRPr="007D4994">
              <w:rPr>
                <w:rFonts w:eastAsiaTheme="majorEastAsia" w:cstheme="majorBidi"/>
                <w:caps w:val="0"/>
                <w:spacing w:val="5"/>
                <w:kern w:val="28"/>
                <w:sz w:val="18"/>
                <w:szCs w:val="52"/>
              </w:rPr>
              <w:lastRenderedPageBreak/>
              <w:t xml:space="preserve">k demografickému vývoji v SO ORP a krátkým vzdálenostem mezi obcemi </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zkušenost s dětmi se SVP</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lastRenderedPageBreak/>
              <w:t>nedostatek kvalifikovaných speciálních pedagogů (resp. specialistů na inkluzi) a pedagogů pro 2leté děti</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lastRenderedPageBreak/>
              <w:t>velký počet dětí ve třídách znemožňující individuální přístup v závislosti na limitech pro pedagogické pracovníky a daném počtu dětí na třídu (28)</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nedostatek vhodného prostoru pro další rozvoj dětí (např. na zázemí pro polytechnické vzdělávání)</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lastRenderedPageBreak/>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zvýšit kompetence a možnost uplatnění logopedické asistentky, kterou většinou má každá MŠ </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možnost přijímat dobrovolný (dárcovský) příspěvek ze strany rodičů, NNO, sociálních fondů apod.</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změna financování regionálního školství</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prodlužování doby denního pobytu dětí v MŠ (nezdravé prostředí)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riziko práce v “hlučném“ prostředí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nedostatek financí pro děti se SVP, nedostatek financí na odměny</w:t>
            </w:r>
          </w:p>
        </w:tc>
      </w:tr>
    </w:tbl>
    <w:p w:rsidR="007D4994" w:rsidRPr="007D4994" w:rsidRDefault="007D4994" w:rsidP="00EB1F1C">
      <w:pPr>
        <w:spacing w:before="200" w:after="120" w:line="276" w:lineRule="auto"/>
        <w:jc w:val="both"/>
        <w:rPr>
          <w:caps w:val="0"/>
          <w:sz w:val="22"/>
        </w:rPr>
      </w:pPr>
      <w:r w:rsidRPr="007D4994">
        <w:rPr>
          <w:caps w:val="0"/>
          <w:sz w:val="22"/>
        </w:rPr>
        <w:t>KAP:</w:t>
      </w:r>
    </w:p>
    <w:p w:rsidR="007D4994" w:rsidRPr="007D4994" w:rsidRDefault="007D4994" w:rsidP="00133557">
      <w:pPr>
        <w:spacing w:before="120" w:after="120" w:line="276" w:lineRule="auto"/>
        <w:jc w:val="both"/>
        <w:rPr>
          <w:caps w:val="0"/>
          <w:sz w:val="22"/>
          <w:u w:val="single"/>
        </w:rPr>
      </w:pPr>
      <w:r w:rsidRPr="007D4994">
        <w:rPr>
          <w:caps w:val="0"/>
          <w:sz w:val="22"/>
          <w:u w:val="single"/>
        </w:rPr>
        <w:t>Rozvoj podnikavosti a iniciativy dětí</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děti jsou od přírody zvídavé</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návyk dětí na zaběhlé aktivity („závislost“ na rutině)</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dostatečná nabídka vzdělávacích akcí v rámci DVPP (kvalifikovaní pedagogové)</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čím dál větší závislost dětí na IT, čímž potlačují dostatečného osvojení si mechanických dovedností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narůstající počet rodičů stěžujících si na své děti, se kterými si neví rady</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nezájem ze strany rodičů, špatná spolupráce</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spolupráce s dalšími subjekty </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úprava některých nařízení, která rozvoj v této oblasti brzdí (striktní hygienická nařízení)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změna financování regionálního školství</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klesající inteligence u dětí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riziko práce v “hlučném“ prostředí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nedostatek financí pro děti se SVP, nedostatek financí na odměny</w:t>
            </w:r>
          </w:p>
        </w:tc>
      </w:tr>
    </w:tbl>
    <w:p w:rsidR="007D4994" w:rsidRPr="007D4994" w:rsidRDefault="007D4994" w:rsidP="00EB1F1C">
      <w:pPr>
        <w:spacing w:before="200" w:after="120" w:line="276" w:lineRule="auto"/>
        <w:jc w:val="both"/>
        <w:rPr>
          <w:caps w:val="0"/>
          <w:sz w:val="22"/>
          <w:u w:val="single"/>
        </w:rPr>
      </w:pPr>
      <w:r w:rsidRPr="007D4994">
        <w:rPr>
          <w:caps w:val="0"/>
          <w:sz w:val="22"/>
          <w:u w:val="single"/>
        </w:rPr>
        <w:t>Rozvoj kompetencí dětí v polytechnickém vzdělávání</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zvídavost a touha tvořit jako přirozená součást naturelu dětí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dostatečná nabídka vzdělávacích akcí v rámci DVPP (kvalifikovaní pedagogové)</w:t>
            </w:r>
          </w:p>
          <w:p w:rsidR="007D4994" w:rsidRPr="007D4994" w:rsidRDefault="007D4994" w:rsidP="007D4994">
            <w:pPr>
              <w:numPr>
                <w:ilvl w:val="0"/>
                <w:numId w:val="46"/>
              </w:numPr>
              <w:spacing w:before="120" w:after="120" w:line="240" w:lineRule="auto"/>
              <w:jc w:val="both"/>
              <w:rPr>
                <w:caps w:val="0"/>
                <w:sz w:val="18"/>
                <w:szCs w:val="18"/>
              </w:rPr>
            </w:pPr>
            <w:r w:rsidRPr="007D4994">
              <w:rPr>
                <w:caps w:val="0"/>
                <w:sz w:val="18"/>
                <w:szCs w:val="18"/>
              </w:rPr>
              <w:t>oblíbená činnost dětí i pedagogů</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nedostatek vhodných pomůcek a podmínek pro bezpečí dětí (mj. velký počet dětí ve třídách) spolu s nedostatkem prostoru pro zázemí (např. pro sklad pomůcek)</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absence mužského elementu </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klesající zručnost dětí v souvislosti s rostoucím </w:t>
            </w:r>
            <w:proofErr w:type="gramStart"/>
            <w:r w:rsidRPr="007D4994">
              <w:rPr>
                <w:rFonts w:eastAsiaTheme="majorEastAsia" w:cstheme="majorBidi"/>
                <w:caps w:val="0"/>
                <w:spacing w:val="5"/>
                <w:kern w:val="28"/>
                <w:sz w:val="18"/>
                <w:szCs w:val="52"/>
              </w:rPr>
              <w:t>vlivem  digitálních</w:t>
            </w:r>
            <w:proofErr w:type="gramEnd"/>
            <w:r w:rsidRPr="007D4994">
              <w:rPr>
                <w:rFonts w:eastAsiaTheme="majorEastAsia" w:cstheme="majorBidi"/>
                <w:caps w:val="0"/>
                <w:spacing w:val="5"/>
                <w:kern w:val="28"/>
                <w:sz w:val="18"/>
                <w:szCs w:val="52"/>
              </w:rPr>
              <w:t xml:space="preserve"> technologií</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možnost rozvíjet spolupráci s dalšími vzdělávacími subjekty a podnikatelskou sférou</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vytvoření „center aktivit“</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vytvoření pozice „asistenta polytechnického vzdělávání“ (ideálně sdíleného vícero MŠ)</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rostoucí vliv digitálních technologií a s ním související narůstající pohodlnost a lenost dětí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nedostatečná připravenost dětí ze strany rodiny</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striktní bezpečnostní pravidla </w:t>
            </w:r>
          </w:p>
        </w:tc>
      </w:tr>
    </w:tbl>
    <w:p w:rsidR="00EB1F1C" w:rsidRDefault="00EB1F1C" w:rsidP="00133557">
      <w:pPr>
        <w:pStyle w:val="Bezmezer"/>
        <w:rPr>
          <w:b/>
        </w:rPr>
      </w:pPr>
    </w:p>
    <w:p w:rsidR="00EB1F1C" w:rsidRDefault="00EB1F1C" w:rsidP="00133557">
      <w:pPr>
        <w:pStyle w:val="Bezmezer"/>
        <w:rPr>
          <w:b/>
        </w:rPr>
      </w:pPr>
    </w:p>
    <w:p w:rsidR="00EB1F1C" w:rsidRDefault="00EB1F1C" w:rsidP="00133557">
      <w:pPr>
        <w:pStyle w:val="Bezmezer"/>
        <w:rPr>
          <w:b/>
        </w:rPr>
      </w:pPr>
    </w:p>
    <w:p w:rsidR="00EB1F1C" w:rsidRDefault="00EB1F1C" w:rsidP="00133557">
      <w:pPr>
        <w:pStyle w:val="Bezmezer"/>
        <w:rPr>
          <w:b/>
        </w:rPr>
      </w:pPr>
    </w:p>
    <w:p w:rsidR="00EB1F1C" w:rsidRDefault="00EB1F1C" w:rsidP="00133557">
      <w:pPr>
        <w:pStyle w:val="Bezmezer"/>
        <w:rPr>
          <w:b/>
        </w:rPr>
      </w:pPr>
    </w:p>
    <w:p w:rsidR="007D4994" w:rsidRPr="00702685" w:rsidRDefault="007D4994" w:rsidP="00133557">
      <w:pPr>
        <w:pStyle w:val="Bezmezer"/>
        <w:rPr>
          <w:b/>
        </w:rPr>
      </w:pPr>
      <w:r w:rsidRPr="00702685">
        <w:rPr>
          <w:b/>
        </w:rPr>
        <w:lastRenderedPageBreak/>
        <w:t>ZÁKLADNÍ ŠKOLY</w:t>
      </w:r>
    </w:p>
    <w:p w:rsidR="007D4994" w:rsidRPr="007D4994" w:rsidRDefault="007D4994" w:rsidP="007D4994">
      <w:pPr>
        <w:spacing w:before="120" w:after="120" w:line="276" w:lineRule="auto"/>
        <w:jc w:val="both"/>
        <w:rPr>
          <w:caps w:val="0"/>
          <w:sz w:val="22"/>
        </w:rPr>
      </w:pPr>
      <w:r w:rsidRPr="007D4994">
        <w:rPr>
          <w:caps w:val="0"/>
          <w:sz w:val="22"/>
        </w:rPr>
        <w:t>MAP:</w:t>
      </w:r>
    </w:p>
    <w:p w:rsidR="007D4994" w:rsidRPr="007D4994" w:rsidRDefault="007D4994" w:rsidP="00133557">
      <w:pPr>
        <w:spacing w:before="120" w:after="120" w:line="276" w:lineRule="auto"/>
        <w:jc w:val="both"/>
        <w:rPr>
          <w:caps w:val="0"/>
          <w:sz w:val="22"/>
          <w:u w:val="single"/>
        </w:rPr>
      </w:pPr>
      <w:r w:rsidRPr="007D4994">
        <w:rPr>
          <w:caps w:val="0"/>
          <w:sz w:val="22"/>
          <w:u w:val="single"/>
        </w:rPr>
        <w:t>čtenářská a matematická gramotnost v základním vzdělávání</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historicky kvalitní základ v českém školství zaměřeném na </w:t>
            </w:r>
            <w:proofErr w:type="spellStart"/>
            <w:proofErr w:type="gramStart"/>
            <w:r w:rsidRPr="007D4994">
              <w:rPr>
                <w:rFonts w:eastAsiaTheme="majorEastAsia" w:cstheme="majorBidi"/>
                <w:caps w:val="0"/>
                <w:spacing w:val="5"/>
                <w:kern w:val="28"/>
                <w:sz w:val="18"/>
                <w:szCs w:val="52"/>
              </w:rPr>
              <w:t>čt</w:t>
            </w:r>
            <w:proofErr w:type="spellEnd"/>
            <w:r w:rsidRPr="007D4994">
              <w:rPr>
                <w:rFonts w:eastAsiaTheme="majorEastAsia" w:cstheme="majorBidi"/>
                <w:caps w:val="0"/>
                <w:spacing w:val="5"/>
                <w:kern w:val="28"/>
                <w:sz w:val="18"/>
                <w:szCs w:val="52"/>
              </w:rPr>
              <w:t>. a mat</w:t>
            </w:r>
            <w:proofErr w:type="gramEnd"/>
            <w:r w:rsidRPr="007D4994">
              <w:rPr>
                <w:rFonts w:eastAsiaTheme="majorEastAsia" w:cstheme="majorBidi"/>
                <w:caps w:val="0"/>
                <w:spacing w:val="5"/>
                <w:kern w:val="28"/>
                <w:sz w:val="18"/>
                <w:szCs w:val="52"/>
              </w:rPr>
              <w:t>. gram.</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zapojení dalších institucí (knihovny, muzea)</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příspěvek ke kvalitnější formální komunikaci</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nezájem žáků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špatná úroveň zázemí žáků/dětí pro rozvoj </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nesoulad cílů mezi školou a rodiči</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zkvalitňování tematické komunikace MŠ + ZŠ + SŠ</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rozvoj fundamentu pro většinu dalšího vzdělávání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rozvoj nových metod výuky</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hrozba výpadku technických oborů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absence odpovídajícího finančního zajištění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absence odp. způsobem vzdělaných učitelů</w:t>
            </w:r>
          </w:p>
        </w:tc>
      </w:tr>
    </w:tbl>
    <w:p w:rsidR="007D4994" w:rsidRPr="007D4994" w:rsidRDefault="007D4994" w:rsidP="00EB1F1C">
      <w:pPr>
        <w:spacing w:before="200" w:after="120" w:line="276" w:lineRule="auto"/>
        <w:jc w:val="both"/>
        <w:rPr>
          <w:caps w:val="0"/>
          <w:sz w:val="22"/>
          <w:u w:val="single"/>
        </w:rPr>
      </w:pPr>
      <w:r w:rsidRPr="007D4994">
        <w:rPr>
          <w:caps w:val="0"/>
          <w:sz w:val="22"/>
          <w:u w:val="single"/>
        </w:rPr>
        <w:t>inkluzivní vzdělávání a podpora dětí a žáků ohrožených školním neúspěchem</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rovné příležitosti ve vzdělávání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množství dotací zaměřených na dané téma</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zájem učitelů o dané téma </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sebevědomí „slabších“ žáků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vysoký počet dětí ve třídě</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pokles kvality výuky </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rozvoj sociálních kompetencí/ empatie</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dovzdělávání pedagogů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rozvoj sebevědomí žáků/ rodičů</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aktivity nekvalifikovaného pedagoga</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přerušení kontinuálního přísunu financí na dlouhodobé aktivity</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přehodnocení systémového přístupu</w:t>
            </w:r>
          </w:p>
        </w:tc>
      </w:tr>
    </w:tbl>
    <w:p w:rsidR="007D4994" w:rsidRPr="007D4994" w:rsidRDefault="007D4994" w:rsidP="007D4994">
      <w:pPr>
        <w:spacing w:before="120" w:after="120" w:line="276" w:lineRule="auto"/>
        <w:jc w:val="both"/>
        <w:rPr>
          <w:caps w:val="0"/>
          <w:sz w:val="22"/>
        </w:rPr>
      </w:pPr>
      <w:r w:rsidRPr="007D4994">
        <w:rPr>
          <w:caps w:val="0"/>
          <w:sz w:val="22"/>
        </w:rPr>
        <w:t>KAP:</w:t>
      </w:r>
    </w:p>
    <w:p w:rsidR="007D4994" w:rsidRPr="007D4994" w:rsidRDefault="007D4994" w:rsidP="00133557">
      <w:pPr>
        <w:spacing w:before="120" w:after="120" w:line="276" w:lineRule="auto"/>
        <w:jc w:val="both"/>
        <w:rPr>
          <w:caps w:val="0"/>
          <w:sz w:val="22"/>
          <w:u w:val="single"/>
        </w:rPr>
      </w:pPr>
      <w:r w:rsidRPr="007D4994">
        <w:rPr>
          <w:caps w:val="0"/>
          <w:sz w:val="22"/>
          <w:u w:val="single"/>
        </w:rPr>
        <w:t>rozvoj podnikavosti a iniciativy dětí a žáků</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podstatné kompetence pro další život</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posilování osobnosti žáka</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přesah školy časově i prostorově do dalších aktivit žáků</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pasivita jednotlivých žáků/ rodičů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nutnost rozsáhlé koordinace při „spolupráci ven“</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časová náročnost pro všechny strany</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otevřená atmosféra ve škole</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rozvoj projektového vyučování</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komunikace školy s okolními institucemi</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neochota k novým přístupům ze strany žáků/ rodičů i učitelů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omezené možnosti spolupráce z hlediska zákona</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nedostatek financí na nové metody</w:t>
            </w:r>
          </w:p>
        </w:tc>
      </w:tr>
    </w:tbl>
    <w:p w:rsidR="007D4994" w:rsidRPr="007D4994" w:rsidRDefault="007D4994" w:rsidP="00EB1F1C">
      <w:pPr>
        <w:spacing w:before="200" w:after="120" w:line="276" w:lineRule="auto"/>
        <w:jc w:val="both"/>
        <w:rPr>
          <w:caps w:val="0"/>
          <w:sz w:val="22"/>
          <w:u w:val="single"/>
        </w:rPr>
      </w:pPr>
      <w:r w:rsidRPr="007D4994">
        <w:rPr>
          <w:caps w:val="0"/>
          <w:sz w:val="22"/>
          <w:u w:val="single"/>
        </w:rPr>
        <w:t>rozvoj kompetencí dětí a žáků v polytechnickém vzdělávání (oblast vědy, technologií, inženýringu, matematiky)</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čím dál tím víc žádané obory</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systematičnost českého vzdělávacího systému</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dobře „uchopitelné“ obory z hlediska metodiky</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nižší zájem o technické obory</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nekompetentní kantor</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absence odpovídajícího materiálního zázemí</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příprava potenciálních zaměstnanců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lastRenderedPageBreak/>
              <w:t>spolupráce napříč školními stupni i s regionálními zaměstnavateli</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finanční podpora z EU</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lastRenderedPageBreak/>
              <w:t>opětovná změna vzdělávacího systému</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lastRenderedPageBreak/>
              <w:t>změna poptávky mezi zaměstnavateli</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nepřijetí změny ze strany rodičů</w:t>
            </w:r>
          </w:p>
        </w:tc>
      </w:tr>
    </w:tbl>
    <w:p w:rsidR="007D4994" w:rsidRPr="007D4994" w:rsidRDefault="007D4994" w:rsidP="00EB1F1C">
      <w:pPr>
        <w:spacing w:before="200" w:after="120" w:line="276" w:lineRule="auto"/>
        <w:jc w:val="both"/>
        <w:rPr>
          <w:caps w:val="0"/>
          <w:sz w:val="22"/>
          <w:u w:val="single"/>
        </w:rPr>
      </w:pPr>
      <w:r w:rsidRPr="007D4994">
        <w:rPr>
          <w:caps w:val="0"/>
          <w:sz w:val="22"/>
          <w:u w:val="single"/>
        </w:rPr>
        <w:lastRenderedPageBreak/>
        <w:t>kariérové poradenství na základních školách</w:t>
      </w:r>
    </w:p>
    <w:tbl>
      <w:tblPr>
        <w:tblStyle w:val="Mkatabulky"/>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4605"/>
        <w:gridCol w:w="4605"/>
      </w:tblGrid>
      <w:tr w:rsidR="007D4994" w:rsidRPr="007D4994" w:rsidTr="002C7F8C">
        <w:trPr>
          <w:trHeight w:val="340"/>
        </w:trPr>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silné stránky</w:t>
            </w:r>
          </w:p>
        </w:tc>
        <w:tc>
          <w:tcPr>
            <w:tcW w:w="4605" w:type="dxa"/>
            <w:tcBorders>
              <w:top w:val="nil"/>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slabé stránky</w:t>
            </w:r>
          </w:p>
        </w:tc>
      </w:tr>
      <w:tr w:rsidR="007D4994" w:rsidRPr="007D4994" w:rsidTr="002C7F8C">
        <w:trPr>
          <w:trHeight w:val="340"/>
        </w:trPr>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základní kámen dlouhodobého vývoje dítěte</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posílení silných individuálních vlastností žáka</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profilace žáka na trhu práce</w:t>
            </w:r>
          </w:p>
        </w:tc>
        <w:tc>
          <w:tcPr>
            <w:tcW w:w="4605" w:type="dxa"/>
            <w:tcBorders>
              <w:top w:val="single" w:sz="4" w:space="0" w:color="auto"/>
              <w:bottom w:val="single" w:sz="18" w:space="0" w:color="auto"/>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potenciální nekompetentnost poradce</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odmítavý postoj rodičů s „profilací“ žáků</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 xml:space="preserve">pokles </w:t>
            </w:r>
            <w:proofErr w:type="spellStart"/>
            <w:r w:rsidRPr="007D4994">
              <w:rPr>
                <w:rFonts w:eastAsiaTheme="majorEastAsia" w:cstheme="majorBidi"/>
                <w:caps w:val="0"/>
                <w:spacing w:val="5"/>
                <w:kern w:val="28"/>
                <w:sz w:val="18"/>
                <w:szCs w:val="52"/>
              </w:rPr>
              <w:t>sebeodpovědnosti</w:t>
            </w:r>
            <w:proofErr w:type="spellEnd"/>
            <w:r w:rsidRPr="007D4994">
              <w:rPr>
                <w:rFonts w:eastAsiaTheme="majorEastAsia" w:cstheme="majorBidi"/>
                <w:caps w:val="0"/>
                <w:spacing w:val="5"/>
                <w:kern w:val="28"/>
                <w:sz w:val="18"/>
                <w:szCs w:val="52"/>
              </w:rPr>
              <w:t xml:space="preserve"> u žáků</w:t>
            </w:r>
          </w:p>
        </w:tc>
      </w:tr>
      <w:tr w:rsidR="007D4994" w:rsidRPr="007D4994" w:rsidTr="002C7F8C">
        <w:trPr>
          <w:trHeight w:val="340"/>
        </w:trPr>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příležitosti</w:t>
            </w:r>
          </w:p>
        </w:tc>
        <w:tc>
          <w:tcPr>
            <w:tcW w:w="4605" w:type="dxa"/>
            <w:tcBorders>
              <w:top w:val="single" w:sz="18" w:space="0" w:color="auto"/>
              <w:bottom w:val="single" w:sz="4" w:space="0" w:color="auto"/>
            </w:tcBorders>
            <w:vAlign w:val="center"/>
          </w:tcPr>
          <w:p w:rsidR="007D4994" w:rsidRPr="007D4994" w:rsidRDefault="007D4994" w:rsidP="007D4994">
            <w:pPr>
              <w:spacing w:before="40" w:after="0" w:line="240" w:lineRule="auto"/>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hrozby</w:t>
            </w:r>
          </w:p>
        </w:tc>
      </w:tr>
      <w:tr w:rsidR="007D4994" w:rsidRPr="007D4994" w:rsidTr="002C7F8C">
        <w:trPr>
          <w:trHeight w:val="340"/>
        </w:trPr>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spolupráce se zaměstnavateli</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zvýšení prestiže řemesel</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finanční podpora ze státních i evropských dotací</w:t>
            </w:r>
          </w:p>
        </w:tc>
        <w:tc>
          <w:tcPr>
            <w:tcW w:w="4605" w:type="dxa"/>
            <w:tcBorders>
              <w:top w:val="single" w:sz="4" w:space="0" w:color="auto"/>
              <w:bottom w:val="nil"/>
            </w:tcBorders>
            <w:vAlign w:val="center"/>
          </w:tcPr>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absence odpovídající odezvy od rodin, úřadů, firem</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hrozba udání špatného „životního směru“</w:t>
            </w:r>
          </w:p>
          <w:p w:rsidR="007D4994" w:rsidRPr="007D4994" w:rsidRDefault="007D4994" w:rsidP="007D4994">
            <w:pPr>
              <w:numPr>
                <w:ilvl w:val="0"/>
                <w:numId w:val="46"/>
              </w:numPr>
              <w:spacing w:before="40" w:after="0" w:line="240" w:lineRule="auto"/>
              <w:ind w:left="284" w:hanging="284"/>
              <w:jc w:val="left"/>
              <w:rPr>
                <w:rFonts w:eastAsiaTheme="majorEastAsia" w:cstheme="majorBidi"/>
                <w:caps w:val="0"/>
                <w:spacing w:val="5"/>
                <w:kern w:val="28"/>
                <w:sz w:val="18"/>
                <w:szCs w:val="52"/>
              </w:rPr>
            </w:pPr>
            <w:r w:rsidRPr="007D4994">
              <w:rPr>
                <w:rFonts w:eastAsiaTheme="majorEastAsia" w:cstheme="majorBidi"/>
                <w:caps w:val="0"/>
                <w:spacing w:val="5"/>
                <w:kern w:val="28"/>
                <w:sz w:val="18"/>
                <w:szCs w:val="52"/>
              </w:rPr>
              <w:t>zastavení finanční podpory při dlouhodobém záměru</w:t>
            </w:r>
          </w:p>
        </w:tc>
      </w:tr>
    </w:tbl>
    <w:p w:rsidR="00EB1F1C" w:rsidRDefault="00EB1F1C" w:rsidP="00EB1F1C">
      <w:pPr>
        <w:pStyle w:val="Nadpis2"/>
      </w:pPr>
      <w:bookmarkStart w:id="35" w:name="_Toc465592582"/>
      <w:r>
        <w:t>Demografická analýza</w:t>
      </w:r>
      <w:bookmarkEnd w:id="35"/>
    </w:p>
    <w:p w:rsidR="006D6D96" w:rsidRDefault="006D6D96" w:rsidP="006D6D96">
      <w:pPr>
        <w:pStyle w:val="Bezmezer"/>
      </w:pPr>
      <w:r>
        <w:t>V této části je zaměřena pozornost na demografický vývoj jednotlivých obcí SO ORP Kutná Hora</w:t>
      </w:r>
      <w:r w:rsidRPr="002D0559">
        <w:t>.</w:t>
      </w:r>
      <w:r>
        <w:t xml:space="preserve"> V rámci každé z jedenapadesáti obcí byla analyzována data týkající se počtu obyvatel a počtu narozených dětí a to za každý rok v rámci intervalu 1991 až 2015. V naprosté většině případů se tedy jedná o celkem dvacet pět let, časový úsek, na jehož základě již lze vytvářet relevantní prognózy. Ve výčtu obcí existuje několik výjimek, jejichž datování začíná déle. Důvodem je jejich odtržení od jiné obce, které se na počátku devadesátých let stále ještě dělo. Tyto obce „ztrácejí“ v rámci analýzy jeden, dva, tři roky, což nejsou ztráty pro analýzu nijak zásadní. </w:t>
      </w:r>
    </w:p>
    <w:p w:rsidR="006D6D96" w:rsidRDefault="006D6D96" w:rsidP="006D6D96">
      <w:pPr>
        <w:pStyle w:val="Bezmezer"/>
      </w:pPr>
      <w:r>
        <w:t xml:space="preserve">Tato data byla následně promítnuta do přehledného grafu. Každé obci tedy náleží dva grafy. V případě počtu obyvatel došlo v grafu k vytvoření spojnice trendu, která naznačuje s určitou, pro každou jednotlivou spojnici stanovenou, spolehlivostí budoucí trend vývoje počtu obyvatel v dané obci (přesah je stanoven do roku 2020). Byla použita polynomická spojnice trendu, tedy </w:t>
      </w:r>
      <w:r w:rsidRPr="00E67374">
        <w:t>k</w:t>
      </w:r>
      <w:r w:rsidRPr="00E67374">
        <w:rPr>
          <w:rFonts w:hint="eastAsia"/>
        </w:rPr>
        <w:t>ř</w:t>
      </w:r>
      <w:r w:rsidRPr="00E67374">
        <w:t xml:space="preserve">ivka používaná </w:t>
      </w:r>
      <w:r>
        <w:t>přednostně u</w:t>
      </w:r>
      <w:r w:rsidRPr="00E67374">
        <w:t xml:space="preserve"> dat, která kolísají</w:t>
      </w:r>
      <w:r>
        <w:t>, což je případ vývoje počtu obyvatel</w:t>
      </w:r>
      <w:r w:rsidRPr="00E67374">
        <w:t xml:space="preserve">. </w:t>
      </w:r>
      <w:r>
        <w:t>Spolehlivost křivky je potom vyjádřena hodnotou spolehlivosti R</w:t>
      </w:r>
      <w:r w:rsidRPr="00E67374">
        <w:rPr>
          <w:vertAlign w:val="superscript"/>
        </w:rPr>
        <w:t>2</w:t>
      </w:r>
      <w:r>
        <w:t xml:space="preserve">. Spojnice trendu </w:t>
      </w:r>
      <w:r w:rsidRPr="00765B5E">
        <w:t>je nejspolehliv</w:t>
      </w:r>
      <w:r w:rsidRPr="00765B5E">
        <w:rPr>
          <w:rFonts w:hint="eastAsia"/>
        </w:rPr>
        <w:t>ě</w:t>
      </w:r>
      <w:r w:rsidRPr="00765B5E">
        <w:t>jší v p</w:t>
      </w:r>
      <w:r w:rsidRPr="00765B5E">
        <w:rPr>
          <w:rFonts w:hint="eastAsia"/>
        </w:rPr>
        <w:t>ří</w:t>
      </w:r>
      <w:r w:rsidRPr="00765B5E">
        <w:t>pad</w:t>
      </w:r>
      <w:r w:rsidRPr="00765B5E">
        <w:rPr>
          <w:rFonts w:hint="eastAsia"/>
        </w:rPr>
        <w:t>ě</w:t>
      </w:r>
      <w:r w:rsidRPr="00765B5E">
        <w:t>, že se její hodnota spolehlivosti R rovná nebo blíží hodnot</w:t>
      </w:r>
      <w:r w:rsidRPr="00765B5E">
        <w:rPr>
          <w:rFonts w:hint="eastAsia"/>
        </w:rPr>
        <w:t>ě</w:t>
      </w:r>
      <w:r w:rsidRPr="00765B5E">
        <w:t xml:space="preserve"> 1.</w:t>
      </w:r>
      <w:r>
        <w:t xml:space="preserve">  </w:t>
      </w:r>
    </w:p>
    <w:p w:rsidR="006D6D96" w:rsidRDefault="006D6D96" w:rsidP="006D6D96">
      <w:pPr>
        <w:pStyle w:val="Bezmezer"/>
      </w:pPr>
      <w:r>
        <w:t>Jako další krok došlo k rozboru každé obce a jejímu zařazení do jedné ze tří vytvořených kategorií a totiž:</w:t>
      </w:r>
    </w:p>
    <w:p w:rsidR="006D6D96" w:rsidRDefault="006D6D96" w:rsidP="006D6D96">
      <w:pPr>
        <w:pStyle w:val="Bezmezer"/>
        <w:numPr>
          <w:ilvl w:val="0"/>
          <w:numId w:val="47"/>
        </w:numPr>
      </w:pPr>
      <w:r>
        <w:t>obce s progresivním demografickým vývojem</w:t>
      </w:r>
    </w:p>
    <w:p w:rsidR="006D6D96" w:rsidRDefault="006D6D96" w:rsidP="006D6D96">
      <w:pPr>
        <w:pStyle w:val="Bezmezer"/>
      </w:pPr>
      <w:r>
        <w:t>Obce, jejichž dlouhodobý vývoj počtu obyvatel a dlouhodobý vývoj počtu narozených dětí mají progresivní trend (křivka spojnice trendu má z dlouhodobého pohledu stoupající tendenci). S většími nebo menšími výkyvy kontinuálně roste. Jedná se o obce, kde již dochází, případně v brzké době bude docházet mimo jiné ke zvýšeným požadavkům po místech v mateřských a základních školách.</w:t>
      </w:r>
    </w:p>
    <w:p w:rsidR="006D6D96" w:rsidRDefault="006D6D96" w:rsidP="006D6D96">
      <w:pPr>
        <w:pStyle w:val="Bezmezer"/>
        <w:numPr>
          <w:ilvl w:val="0"/>
          <w:numId w:val="47"/>
        </w:numPr>
      </w:pPr>
      <w:r>
        <w:t>obce se stagnujícím demografickým vývojem</w:t>
      </w:r>
    </w:p>
    <w:p w:rsidR="006D6D96" w:rsidRDefault="006D6D96" w:rsidP="006D6D96">
      <w:pPr>
        <w:pStyle w:val="Bezmezer"/>
      </w:pPr>
      <w:r>
        <w:t xml:space="preserve">Obce, jejichž dlouhodobý vývoj počtu obyvatel a dlouhodobý vývoj počtu narozených dětí s většími nebo menšími výkyvy stagnují (křivka spojnice trendu má z dlouhodobého pohledu tendenci výrazně nestoupat ani neklesat). Jedná se o obce, kde je poptávka po místech v mateřských a základních školách saturována, ale rovněž může jít o obce, kde i stagnující počet obyvatel je problémem. Ať již z hlediska špatného stavu školského zařízení/ dopravní </w:t>
      </w:r>
      <w:r>
        <w:lastRenderedPageBreak/>
        <w:t>vzdálenosti/ institucionálním problémům nebo z hlediska blízkosti jiné obce, která saturuje své potřeby ve stejné vzdělávací instituci a roste.</w:t>
      </w:r>
    </w:p>
    <w:p w:rsidR="006D6D96" w:rsidRDefault="006D6D96" w:rsidP="006D6D96">
      <w:pPr>
        <w:pStyle w:val="Bezmezer"/>
        <w:numPr>
          <w:ilvl w:val="0"/>
          <w:numId w:val="47"/>
        </w:numPr>
      </w:pPr>
      <w:r>
        <w:t>obce s regresivním demografickým vývojem</w:t>
      </w:r>
    </w:p>
    <w:p w:rsidR="006D6D96" w:rsidRDefault="006D6D96" w:rsidP="006D6D96">
      <w:pPr>
        <w:pStyle w:val="Bezmezer"/>
      </w:pPr>
      <w:r>
        <w:t>Obce, jejichž dlouhodobý vývoj počtu obyvatel a dlouhodobý vývoj počtu narozených dětí mají regresivní, tedy klesající, trend (křivka spojnice trendu má z dlouhodobého pohledu klesající tendenci). Jedná se o obce, kde sice požadavky po místech v mateřských a základních školách nejsou dlouhodobým problémem, ale o to horší situace může v takové samosprávě paradoxně vzniknout v případě, kdy dojde k náhlému výkyvu ve prospěch nárůstu počtu dětí.</w:t>
      </w:r>
    </w:p>
    <w:p w:rsidR="006D6D96" w:rsidRDefault="006D6D96" w:rsidP="006D6D96">
      <w:pPr>
        <w:pStyle w:val="Bezmezer"/>
      </w:pPr>
      <w:r>
        <w:t xml:space="preserve">Každá z těchto kategorií je v následujících kapitolách přiblížena a jsou pro ni vyvozeny závěry. </w:t>
      </w:r>
    </w:p>
    <w:p w:rsidR="006D6D96" w:rsidRPr="00E6133C" w:rsidRDefault="006D6D96" w:rsidP="006D6D96">
      <w:pPr>
        <w:pStyle w:val="Nadpis3"/>
      </w:pPr>
      <w:bookmarkStart w:id="36" w:name="_Toc465592583"/>
      <w:r>
        <w:t>obce s progresivním demografickým vývojem</w:t>
      </w:r>
      <w:bookmarkEnd w:id="36"/>
    </w:p>
    <w:p w:rsidR="006D6D96" w:rsidRDefault="006D6D96" w:rsidP="006D6D96">
      <w:pPr>
        <w:pStyle w:val="Bezmezer"/>
      </w:pPr>
      <w:r>
        <w:t xml:space="preserve">Tato kategorie zahrnuje nejvíce, celkem 30, obcí. Z toho v pěti případech lze mluvit o diskutabilním zařazení, protože u obcí </w:t>
      </w:r>
      <w:proofErr w:type="spellStart"/>
      <w:r>
        <w:t>Bohdaneč</w:t>
      </w:r>
      <w:proofErr w:type="spellEnd"/>
      <w:r>
        <w:t xml:space="preserve">, Košice, </w:t>
      </w:r>
      <w:proofErr w:type="spellStart"/>
      <w:r>
        <w:t>Chlístovice</w:t>
      </w:r>
      <w:proofErr w:type="spellEnd"/>
      <w:r>
        <w:t xml:space="preserve">, </w:t>
      </w:r>
      <w:proofErr w:type="spellStart"/>
      <w:r>
        <w:t>Paběnice</w:t>
      </w:r>
      <w:proofErr w:type="spellEnd"/>
      <w:r>
        <w:t xml:space="preserve"> a Svatý Mikuláš dosahuje hodnota spolehlivosti trendu pouze čísla 0,5 a méně. Argumentem pro jejich zařazení byl potom mimo jiné graf vývoje počtu narozených, který u všech obcí dosahuje relativně vyšších hodnot.  </w:t>
      </w:r>
    </w:p>
    <w:p w:rsidR="006D6D96" w:rsidRDefault="006D6D96" w:rsidP="006D6D96">
      <w:pPr>
        <w:pStyle w:val="Bezmezer"/>
      </w:pPr>
      <w:r>
        <w:t>Hned zde na začátku rovněž zmiňme, že podstatnou a těžko odhadnutelnou roli v hodnocení obcí sehrává také jejich velikost. Analýza pracuje s intervalem dvaceti pěti let, který by již měl být celkem imunní proti nenadálým výkyvům, přesto však v případě malých obcí může jedna významná skutečnost sehrát zcela zásadní roli v dalším vývoji počtu obyvatel (např. odstěhování dvou mladých rodin) a tato stejná událost v případě většího města s jeho statistikou nijak podstatně nezatřese.</w:t>
      </w:r>
    </w:p>
    <w:p w:rsidR="006D6D96" w:rsidRDefault="006D6D96" w:rsidP="006D6D96">
      <w:pPr>
        <w:pStyle w:val="Bezmezer"/>
      </w:pPr>
      <w:r>
        <w:t xml:space="preserve">Vrátíme-li se k aktuální kategorii, tak z obrázku níže ve shrnutí je patrné, že obce této kategorie zabírají největší část SO ORP. Na první pohled by se tak mohlo zdát, že SO ORP Kutná Hora jako celek demograficky roste. K této skutečnosti však nedochází kvůli dalšímu podstatnému faktu a tím je, že v této kategorii se nenachází ani jedno ze tří největších měst celého regionu! Na „vině“ je patrně z části suburbanizace, kdy se rozvíjejí obce v zázemí těchto měst (Miskovice, Malešov, Církvice X Kutná Hora, </w:t>
      </w:r>
      <w:proofErr w:type="spellStart"/>
      <w:r>
        <w:t>Vavřinec</w:t>
      </w:r>
      <w:proofErr w:type="spellEnd"/>
      <w:r>
        <w:t xml:space="preserve">, </w:t>
      </w:r>
      <w:proofErr w:type="spellStart"/>
      <w:r>
        <w:t>Zbizuby</w:t>
      </w:r>
      <w:proofErr w:type="spellEnd"/>
      <w:r>
        <w:t xml:space="preserve"> X Uhlířské Janovice)</w:t>
      </w:r>
      <w:r w:rsidRPr="00300738">
        <w:t xml:space="preserve"> </w:t>
      </w:r>
      <w:r>
        <w:t>a z části blízkost celého regionu u Prahy, která je atraktivní zejména pro mladé lidi, což je demograficky velmi důležitá skupina.</w:t>
      </w:r>
    </w:p>
    <w:p w:rsidR="006D6D96" w:rsidRDefault="006D6D96" w:rsidP="006D6D96">
      <w:pPr>
        <w:pStyle w:val="Bezmezer"/>
      </w:pPr>
      <w:r>
        <w:t>U všech obcí v této kategorii tak lze s relativně velkou mírou pravděpodobnosti očekávat (někde se tak již děje), že bude docházet k převisu poptávky po školském zařízení nad nabídkou a to jak v nich samotných, tak v jejich nejbližším okolí. Lze usuzovat, že nejkritičtější situace potom bude v prostorách nejvyšší koncentrace červené barvy tak, jak ji zobrazuje zmiňovaný obrázek.</w:t>
      </w:r>
    </w:p>
    <w:p w:rsidR="006D6D96" w:rsidRDefault="006D6D96" w:rsidP="006D6D96">
      <w:pPr>
        <w:pStyle w:val="Nadpis5"/>
      </w:pPr>
      <w:r>
        <w:lastRenderedPageBreak/>
        <w:t>Graf: Vývoj počtu obyvatel a narozených v Bernardově</w:t>
      </w:r>
    </w:p>
    <w:p w:rsidR="006D6D96" w:rsidRDefault="006D6D96" w:rsidP="006D6D96">
      <w:pPr>
        <w:pStyle w:val="Bezmezer"/>
      </w:pPr>
      <w:r w:rsidRPr="00604C94">
        <w:rPr>
          <w:noProof/>
          <w:lang w:eastAsia="cs-CZ"/>
        </w:rPr>
        <w:drawing>
          <wp:inline distT="0" distB="0" distL="0" distR="0">
            <wp:extent cx="2933395" cy="2348179"/>
            <wp:effectExtent l="0" t="0" r="305"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559D0">
        <w:rPr>
          <w:noProof/>
          <w:lang w:eastAsia="cs-CZ"/>
        </w:rPr>
        <w:drawing>
          <wp:inline distT="0" distB="0" distL="0" distR="0">
            <wp:extent cx="2796363" cy="2349795"/>
            <wp:effectExtent l="0" t="0" r="0"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6D96" w:rsidRDefault="006D6D96" w:rsidP="006D6D96">
      <w:pPr>
        <w:pStyle w:val="Nadpis5"/>
      </w:pPr>
      <w:r>
        <w:t>Graf: Vývoj počtu obyvatel a narozených v </w:t>
      </w:r>
      <w:proofErr w:type="spellStart"/>
      <w:r>
        <w:t>Bludově</w:t>
      </w:r>
      <w:proofErr w:type="spellEnd"/>
    </w:p>
    <w:p w:rsidR="006D6D96" w:rsidRDefault="006D6D96" w:rsidP="006D6D96">
      <w:pPr>
        <w:pStyle w:val="Bezmezer"/>
      </w:pPr>
      <w:r w:rsidRPr="003B43C1">
        <w:rPr>
          <w:noProof/>
          <w:lang w:eastAsia="cs-CZ"/>
        </w:rPr>
        <w:drawing>
          <wp:inline distT="0" distB="0" distL="0" distR="0">
            <wp:extent cx="2934586" cy="2296633"/>
            <wp:effectExtent l="0" t="0" r="0" b="0"/>
            <wp:docPr id="6"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B43C1">
        <w:rPr>
          <w:noProof/>
          <w:lang w:eastAsia="cs-CZ"/>
        </w:rPr>
        <w:t xml:space="preserve"> </w:t>
      </w:r>
      <w:r w:rsidRPr="003B43C1">
        <w:rPr>
          <w:noProof/>
          <w:lang w:eastAsia="cs-CZ"/>
        </w:rPr>
        <w:drawing>
          <wp:inline distT="0" distB="0" distL="0" distR="0">
            <wp:extent cx="2753833" cy="2296633"/>
            <wp:effectExtent l="0" t="0" r="0" b="0"/>
            <wp:docPr id="7"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6D96" w:rsidRDefault="006D6D96" w:rsidP="006D6D96">
      <w:pPr>
        <w:pStyle w:val="Nadpis5"/>
      </w:pPr>
      <w:r>
        <w:t>Graf: Vývoj počtu obyvatel a narozených v </w:t>
      </w:r>
      <w:proofErr w:type="spellStart"/>
      <w:r>
        <w:t>Bohdanči</w:t>
      </w:r>
      <w:proofErr w:type="spellEnd"/>
    </w:p>
    <w:p w:rsidR="006D6D96" w:rsidRDefault="006D6D96" w:rsidP="006D6D96">
      <w:pPr>
        <w:pStyle w:val="Bezmezer"/>
      </w:pPr>
      <w:r w:rsidRPr="003B43C1">
        <w:rPr>
          <w:noProof/>
          <w:lang w:eastAsia="cs-CZ"/>
        </w:rPr>
        <w:drawing>
          <wp:inline distT="0" distB="0" distL="0" distR="0">
            <wp:extent cx="2934586" cy="2349795"/>
            <wp:effectExtent l="0" t="0" r="0" b="0"/>
            <wp:docPr id="8"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B43C1">
        <w:rPr>
          <w:noProof/>
          <w:lang w:eastAsia="cs-CZ"/>
        </w:rPr>
        <w:t xml:space="preserve"> </w:t>
      </w:r>
      <w:r w:rsidRPr="003B43C1">
        <w:rPr>
          <w:noProof/>
          <w:lang w:eastAsia="cs-CZ"/>
        </w:rPr>
        <w:drawing>
          <wp:inline distT="0" distB="0" distL="0" distR="0">
            <wp:extent cx="2764465" cy="2275367"/>
            <wp:effectExtent l="0" t="0" r="0" b="0"/>
            <wp:docPr id="9"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6D96" w:rsidRDefault="006D6D96" w:rsidP="006D6D96">
      <w:pPr>
        <w:pStyle w:val="Nadpis5"/>
      </w:pPr>
      <w:r>
        <w:lastRenderedPageBreak/>
        <w:t>Graf: Vývoj počtu obyvatel a narozených v </w:t>
      </w:r>
      <w:proofErr w:type="spellStart"/>
      <w:r>
        <w:t>Církvici</w:t>
      </w:r>
      <w:proofErr w:type="spellEnd"/>
    </w:p>
    <w:p w:rsidR="006D6D96" w:rsidRDefault="006D6D96" w:rsidP="006D6D96">
      <w:pPr>
        <w:pStyle w:val="Bezmezer"/>
      </w:pPr>
      <w:r w:rsidRPr="0081561A">
        <w:rPr>
          <w:noProof/>
          <w:lang w:eastAsia="cs-CZ"/>
        </w:rPr>
        <w:drawing>
          <wp:inline distT="0" distB="0" distL="0" distR="0">
            <wp:extent cx="2972037" cy="2179674"/>
            <wp:effectExtent l="0" t="0" r="0" b="0"/>
            <wp:docPr id="10"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1561A">
        <w:rPr>
          <w:noProof/>
          <w:lang w:eastAsia="cs-CZ"/>
        </w:rPr>
        <w:t xml:space="preserve"> </w:t>
      </w:r>
      <w:r w:rsidRPr="0081561A">
        <w:rPr>
          <w:noProof/>
          <w:lang w:eastAsia="cs-CZ"/>
        </w:rPr>
        <w:drawing>
          <wp:inline distT="0" distB="0" distL="0" distR="0">
            <wp:extent cx="2679404" cy="2179674"/>
            <wp:effectExtent l="0" t="0" r="0" b="0"/>
            <wp:docPr id="11"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6D96" w:rsidRDefault="006D6D96" w:rsidP="006D6D96">
      <w:pPr>
        <w:pStyle w:val="Nadpis5"/>
      </w:pPr>
      <w:r>
        <w:t>Graf: Vývoj počtu obyvatel a narozených v </w:t>
      </w:r>
      <w:proofErr w:type="spellStart"/>
      <w:r>
        <w:t>Čestíně</w:t>
      </w:r>
      <w:proofErr w:type="spellEnd"/>
    </w:p>
    <w:p w:rsidR="006D6D96" w:rsidRDefault="006D6D96" w:rsidP="006D6D96">
      <w:pPr>
        <w:pStyle w:val="Bezmezer"/>
      </w:pPr>
      <w:r w:rsidRPr="008E47C7">
        <w:rPr>
          <w:noProof/>
          <w:lang w:eastAsia="cs-CZ"/>
        </w:rPr>
        <w:drawing>
          <wp:inline distT="0" distB="0" distL="0" distR="0">
            <wp:extent cx="2923954" cy="2349796"/>
            <wp:effectExtent l="0" t="0" r="0" b="0"/>
            <wp:docPr id="12"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E47C7">
        <w:rPr>
          <w:noProof/>
          <w:lang w:eastAsia="cs-CZ"/>
        </w:rPr>
        <w:t xml:space="preserve"> </w:t>
      </w:r>
      <w:r w:rsidRPr="008E47C7">
        <w:rPr>
          <w:noProof/>
          <w:lang w:eastAsia="cs-CZ"/>
        </w:rPr>
        <w:drawing>
          <wp:inline distT="0" distB="0" distL="0" distR="0">
            <wp:extent cx="2732567" cy="2349796"/>
            <wp:effectExtent l="0" t="0" r="0" b="0"/>
            <wp:docPr id="13"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6D96" w:rsidRDefault="006D6D96" w:rsidP="006D6D96">
      <w:pPr>
        <w:pStyle w:val="Nadpis5"/>
      </w:pPr>
      <w:r>
        <w:t xml:space="preserve">Graf: Vývoj počtu obyvatel a </w:t>
      </w:r>
      <w:proofErr w:type="gramStart"/>
      <w:r>
        <w:t>narozených v Hlízově</w:t>
      </w:r>
      <w:proofErr w:type="gramEnd"/>
    </w:p>
    <w:p w:rsidR="006D6D96" w:rsidRDefault="006D6D96" w:rsidP="006D6D96">
      <w:pPr>
        <w:pStyle w:val="Bezmezer"/>
      </w:pPr>
      <w:r w:rsidRPr="0052378C">
        <w:rPr>
          <w:noProof/>
          <w:lang w:eastAsia="cs-CZ"/>
        </w:rPr>
        <w:drawing>
          <wp:inline distT="0" distB="0" distL="0" distR="0">
            <wp:extent cx="2934586" cy="2424223"/>
            <wp:effectExtent l="0" t="0" r="0" b="0"/>
            <wp:docPr id="14"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2378C">
        <w:rPr>
          <w:noProof/>
          <w:lang w:eastAsia="cs-CZ"/>
        </w:rPr>
        <w:t xml:space="preserve"> </w:t>
      </w:r>
      <w:r w:rsidRPr="0052378C">
        <w:rPr>
          <w:noProof/>
          <w:lang w:eastAsia="cs-CZ"/>
        </w:rPr>
        <w:drawing>
          <wp:inline distT="0" distB="0" distL="0" distR="0">
            <wp:extent cx="2743200" cy="2424224"/>
            <wp:effectExtent l="0" t="0" r="0" b="0"/>
            <wp:docPr id="15"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6D96" w:rsidRDefault="006D6D96" w:rsidP="006D6D96">
      <w:pPr>
        <w:pStyle w:val="Nadpis5"/>
      </w:pPr>
      <w:r>
        <w:lastRenderedPageBreak/>
        <w:t>Graf: Vývoj počtu obyvatel a narozených v </w:t>
      </w:r>
      <w:proofErr w:type="spellStart"/>
      <w:r>
        <w:t>Chlístovicích</w:t>
      </w:r>
      <w:proofErr w:type="spellEnd"/>
    </w:p>
    <w:p w:rsidR="006D6D96" w:rsidRDefault="006D6D96" w:rsidP="006D6D96">
      <w:pPr>
        <w:pStyle w:val="Bezmezer"/>
      </w:pPr>
      <w:r w:rsidRPr="00551AA5">
        <w:rPr>
          <w:noProof/>
          <w:lang w:eastAsia="cs-CZ"/>
        </w:rPr>
        <w:drawing>
          <wp:inline distT="0" distB="0" distL="0" distR="0">
            <wp:extent cx="2934586" cy="2349795"/>
            <wp:effectExtent l="0" t="0" r="0" b="0"/>
            <wp:docPr id="16"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51AA5">
        <w:rPr>
          <w:noProof/>
          <w:lang w:eastAsia="cs-CZ"/>
        </w:rPr>
        <w:t xml:space="preserve"> </w:t>
      </w:r>
      <w:r w:rsidRPr="00551AA5">
        <w:rPr>
          <w:noProof/>
          <w:lang w:eastAsia="cs-CZ"/>
        </w:rPr>
        <w:drawing>
          <wp:inline distT="0" distB="0" distL="0" distR="0">
            <wp:extent cx="2743200" cy="2296633"/>
            <wp:effectExtent l="0" t="0" r="0" b="0"/>
            <wp:docPr id="17"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6D96" w:rsidRDefault="006D6D96" w:rsidP="006D6D96">
      <w:pPr>
        <w:pStyle w:val="Nadpis5"/>
      </w:pPr>
      <w:r>
        <w:t>Graf: Vývoj počtu obyvatel a narozených v </w:t>
      </w:r>
      <w:proofErr w:type="spellStart"/>
      <w:r>
        <w:t>Kobylnici</w:t>
      </w:r>
      <w:proofErr w:type="spellEnd"/>
    </w:p>
    <w:p w:rsidR="006D6D96" w:rsidRDefault="006D6D96" w:rsidP="006D6D96">
      <w:pPr>
        <w:pStyle w:val="Bezmezer"/>
      </w:pPr>
      <w:r w:rsidRPr="00C24D07">
        <w:rPr>
          <w:noProof/>
          <w:lang w:eastAsia="cs-CZ"/>
        </w:rPr>
        <w:drawing>
          <wp:inline distT="0" distB="0" distL="0" distR="0">
            <wp:extent cx="2966484" cy="2349796"/>
            <wp:effectExtent l="0" t="0" r="5316" b="0"/>
            <wp:docPr id="18"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24D07">
        <w:rPr>
          <w:noProof/>
          <w:lang w:eastAsia="cs-CZ"/>
        </w:rPr>
        <w:t xml:space="preserve"> </w:t>
      </w:r>
      <w:r w:rsidRPr="00C24D07">
        <w:rPr>
          <w:noProof/>
          <w:lang w:eastAsia="cs-CZ"/>
        </w:rPr>
        <w:drawing>
          <wp:inline distT="0" distB="0" distL="0" distR="0">
            <wp:extent cx="2711303" cy="2349796"/>
            <wp:effectExtent l="0" t="0" r="0" b="0"/>
            <wp:docPr id="19"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6D96" w:rsidRDefault="006D6D96" w:rsidP="006D6D96">
      <w:pPr>
        <w:pStyle w:val="Nadpis5"/>
      </w:pPr>
      <w:r>
        <w:t>Graf: Vývoj počtu obyvatel a narozených v Košicích</w:t>
      </w:r>
    </w:p>
    <w:p w:rsidR="006D6D96" w:rsidRDefault="006D6D96" w:rsidP="006D6D96">
      <w:pPr>
        <w:pStyle w:val="Bezmezer"/>
      </w:pPr>
      <w:r w:rsidRPr="002852D6">
        <w:rPr>
          <w:noProof/>
          <w:lang w:eastAsia="cs-CZ"/>
        </w:rPr>
        <w:drawing>
          <wp:inline distT="0" distB="0" distL="0" distR="0">
            <wp:extent cx="2948867" cy="2413591"/>
            <wp:effectExtent l="0" t="0" r="0" b="0"/>
            <wp:docPr id="20"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C24D07">
        <w:rPr>
          <w:noProof/>
          <w:lang w:eastAsia="cs-CZ"/>
        </w:rPr>
        <w:t xml:space="preserve"> </w:t>
      </w:r>
      <w:r w:rsidRPr="00166947">
        <w:rPr>
          <w:noProof/>
          <w:lang w:eastAsia="cs-CZ"/>
        </w:rPr>
        <w:drawing>
          <wp:inline distT="0" distB="0" distL="0" distR="0">
            <wp:extent cx="2753833" cy="2445488"/>
            <wp:effectExtent l="0" t="0" r="0" b="0"/>
            <wp:docPr id="21"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6D96" w:rsidRDefault="006D6D96" w:rsidP="006D6D96">
      <w:pPr>
        <w:pStyle w:val="Nadpis5"/>
      </w:pPr>
      <w:r>
        <w:lastRenderedPageBreak/>
        <w:t>Graf: Vývoj počtu obyvatel a narozených v </w:t>
      </w:r>
      <w:proofErr w:type="spellStart"/>
      <w:r>
        <w:t>Křeseticích</w:t>
      </w:r>
      <w:proofErr w:type="spellEnd"/>
    </w:p>
    <w:p w:rsidR="006D6D96" w:rsidRDefault="006D6D96" w:rsidP="006D6D96">
      <w:pPr>
        <w:pStyle w:val="Bezmezer"/>
      </w:pPr>
      <w:r w:rsidRPr="005613E3">
        <w:rPr>
          <w:noProof/>
          <w:lang w:eastAsia="cs-CZ"/>
        </w:rPr>
        <w:drawing>
          <wp:inline distT="0" distB="0" distL="0" distR="0">
            <wp:extent cx="2934586" cy="2392326"/>
            <wp:effectExtent l="0" t="0" r="0" b="0"/>
            <wp:docPr id="22"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C24D07">
        <w:rPr>
          <w:noProof/>
          <w:lang w:eastAsia="cs-CZ"/>
        </w:rPr>
        <w:t xml:space="preserve"> </w:t>
      </w:r>
      <w:r w:rsidRPr="005613E3">
        <w:rPr>
          <w:noProof/>
          <w:lang w:eastAsia="cs-CZ"/>
        </w:rPr>
        <w:drawing>
          <wp:inline distT="0" distB="0" distL="0" distR="0">
            <wp:extent cx="2753833" cy="2339163"/>
            <wp:effectExtent l="0" t="0" r="0" b="0"/>
            <wp:docPr id="26"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6D96" w:rsidRDefault="006D6D96" w:rsidP="006D6D96">
      <w:pPr>
        <w:pStyle w:val="Nadpis5"/>
      </w:pPr>
      <w:r>
        <w:t>Graf: Vývoj počtu obyvatel a narozených v </w:t>
      </w:r>
      <w:proofErr w:type="spellStart"/>
      <w:r>
        <w:t>Ledečku</w:t>
      </w:r>
      <w:proofErr w:type="spellEnd"/>
    </w:p>
    <w:p w:rsidR="006D6D96" w:rsidRDefault="006D6D96" w:rsidP="006D6D96">
      <w:pPr>
        <w:pStyle w:val="Bezmezer"/>
      </w:pPr>
      <w:r w:rsidRPr="00590D71">
        <w:rPr>
          <w:noProof/>
          <w:lang w:eastAsia="cs-CZ"/>
        </w:rPr>
        <w:drawing>
          <wp:inline distT="0" distB="0" distL="0" distR="0">
            <wp:extent cx="2966484" cy="2339162"/>
            <wp:effectExtent l="0" t="0" r="0" b="0"/>
            <wp:docPr id="30"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C24D07">
        <w:rPr>
          <w:noProof/>
          <w:lang w:eastAsia="cs-CZ"/>
        </w:rPr>
        <w:t xml:space="preserve"> </w:t>
      </w:r>
      <w:r w:rsidRPr="00590D71">
        <w:rPr>
          <w:noProof/>
          <w:lang w:eastAsia="cs-CZ"/>
        </w:rPr>
        <w:drawing>
          <wp:inline distT="0" distB="0" distL="0" distR="0">
            <wp:extent cx="2721935" cy="2339162"/>
            <wp:effectExtent l="0" t="0" r="0" b="0"/>
            <wp:docPr id="31"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D6D96" w:rsidRDefault="006D6D96" w:rsidP="006D6D96">
      <w:pPr>
        <w:pStyle w:val="Nadpis5"/>
      </w:pPr>
      <w:r>
        <w:t>Graf: Vývoj počtu obyvatel a narozených v </w:t>
      </w:r>
      <w:proofErr w:type="spellStart"/>
      <w:r>
        <w:t>Malešově</w:t>
      </w:r>
      <w:proofErr w:type="spellEnd"/>
    </w:p>
    <w:p w:rsidR="006D6D96" w:rsidRDefault="006D6D96" w:rsidP="006D6D96">
      <w:pPr>
        <w:pStyle w:val="Bezmezer"/>
      </w:pPr>
      <w:r w:rsidRPr="00DA236C">
        <w:rPr>
          <w:noProof/>
          <w:lang w:eastAsia="cs-CZ"/>
        </w:rPr>
        <w:drawing>
          <wp:inline distT="0" distB="0" distL="0" distR="0">
            <wp:extent cx="2948867" cy="2339163"/>
            <wp:effectExtent l="0" t="0" r="3883" b="0"/>
            <wp:docPr id="32"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C24D07">
        <w:rPr>
          <w:noProof/>
          <w:lang w:eastAsia="cs-CZ"/>
        </w:rPr>
        <w:t xml:space="preserve"> </w:t>
      </w:r>
      <w:r w:rsidRPr="00DA236C">
        <w:rPr>
          <w:noProof/>
          <w:lang w:eastAsia="cs-CZ"/>
        </w:rPr>
        <w:drawing>
          <wp:inline distT="0" distB="0" distL="0" distR="0">
            <wp:extent cx="2743200" cy="2286000"/>
            <wp:effectExtent l="0" t="0" r="0" b="0"/>
            <wp:docPr id="33"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D6D96" w:rsidRDefault="006D6D96" w:rsidP="006D6D96">
      <w:pPr>
        <w:pStyle w:val="Nadpis5"/>
      </w:pPr>
      <w:r>
        <w:lastRenderedPageBreak/>
        <w:t>Graf: Vývoj počtu obyvatel a narozených v Miskovicích</w:t>
      </w:r>
    </w:p>
    <w:p w:rsidR="006D6D96" w:rsidRDefault="006D6D96" w:rsidP="006D6D96">
      <w:pPr>
        <w:pStyle w:val="Bezmezer"/>
      </w:pPr>
      <w:r w:rsidRPr="001F1687">
        <w:rPr>
          <w:noProof/>
          <w:lang w:eastAsia="cs-CZ"/>
        </w:rPr>
        <w:drawing>
          <wp:inline distT="0" distB="0" distL="0" distR="0">
            <wp:extent cx="2948867" cy="2296633"/>
            <wp:effectExtent l="0" t="0" r="3883" b="0"/>
            <wp:docPr id="34"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C24D07">
        <w:rPr>
          <w:noProof/>
          <w:lang w:eastAsia="cs-CZ"/>
        </w:rPr>
        <w:t xml:space="preserve"> </w:t>
      </w:r>
      <w:r w:rsidRPr="001F1687">
        <w:rPr>
          <w:noProof/>
          <w:lang w:eastAsia="cs-CZ"/>
        </w:rPr>
        <w:drawing>
          <wp:inline distT="0" distB="0" distL="0" distR="0">
            <wp:extent cx="2753833" cy="2243470"/>
            <wp:effectExtent l="0" t="0" r="0" b="0"/>
            <wp:docPr id="35"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D6D96" w:rsidRDefault="006D6D96" w:rsidP="006D6D96">
      <w:pPr>
        <w:pStyle w:val="Nadpis5"/>
      </w:pPr>
      <w:r>
        <w:t>Graf: Vývoj počtu obyvatel a narozených v </w:t>
      </w:r>
      <w:proofErr w:type="spellStart"/>
      <w:r>
        <w:t>Onomyšli</w:t>
      </w:r>
      <w:proofErr w:type="spellEnd"/>
    </w:p>
    <w:p w:rsidR="006D6D96" w:rsidRDefault="006D6D96" w:rsidP="006D6D96">
      <w:pPr>
        <w:pStyle w:val="Bezmezer"/>
      </w:pPr>
      <w:r w:rsidRPr="00D27CFE">
        <w:rPr>
          <w:noProof/>
          <w:lang w:eastAsia="cs-CZ"/>
        </w:rPr>
        <w:drawing>
          <wp:inline distT="0" distB="0" distL="0" distR="0">
            <wp:extent cx="2838893" cy="2232837"/>
            <wp:effectExtent l="0" t="0" r="0" b="0"/>
            <wp:docPr id="3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C24D07">
        <w:rPr>
          <w:noProof/>
          <w:lang w:eastAsia="cs-CZ"/>
        </w:rPr>
        <w:t xml:space="preserve"> </w:t>
      </w:r>
      <w:r w:rsidRPr="00D27CFE">
        <w:rPr>
          <w:noProof/>
          <w:lang w:eastAsia="cs-CZ"/>
        </w:rPr>
        <w:drawing>
          <wp:inline distT="0" distB="0" distL="0" distR="0">
            <wp:extent cx="2860158" cy="2232837"/>
            <wp:effectExtent l="0" t="0" r="0" b="0"/>
            <wp:docPr id="3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D6D96" w:rsidRDefault="006D6D96" w:rsidP="006D6D96">
      <w:pPr>
        <w:pStyle w:val="Nadpis5"/>
      </w:pPr>
      <w:r>
        <w:t>Graf: Vývoj počtu obyvatel a narozených v </w:t>
      </w:r>
      <w:proofErr w:type="spellStart"/>
      <w:r>
        <w:t>Opatovicích</w:t>
      </w:r>
      <w:proofErr w:type="spellEnd"/>
      <w:r>
        <w:t xml:space="preserve"> I</w:t>
      </w:r>
    </w:p>
    <w:p w:rsidR="006D6D96" w:rsidRDefault="006D6D96" w:rsidP="006D6D96">
      <w:pPr>
        <w:pStyle w:val="Bezmezer"/>
      </w:pPr>
      <w:r w:rsidRPr="00BD0BF8">
        <w:rPr>
          <w:noProof/>
          <w:lang w:eastAsia="cs-CZ"/>
        </w:rPr>
        <w:drawing>
          <wp:inline distT="0" distB="0" distL="0" distR="0">
            <wp:extent cx="2860159" cy="2147777"/>
            <wp:effectExtent l="0" t="0" r="0" b="0"/>
            <wp:docPr id="3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C24D07">
        <w:rPr>
          <w:noProof/>
          <w:lang w:eastAsia="cs-CZ"/>
        </w:rPr>
        <w:t xml:space="preserve"> </w:t>
      </w:r>
      <w:r w:rsidRPr="00BD0BF8">
        <w:rPr>
          <w:noProof/>
          <w:lang w:eastAsia="cs-CZ"/>
        </w:rPr>
        <w:drawing>
          <wp:inline distT="0" distB="0" distL="0" distR="0">
            <wp:extent cx="2860159" cy="2126512"/>
            <wp:effectExtent l="0" t="0" r="0" b="0"/>
            <wp:docPr id="3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D6D96" w:rsidRDefault="006D6D96" w:rsidP="006D6D96">
      <w:pPr>
        <w:pStyle w:val="Nadpis5"/>
      </w:pPr>
      <w:r>
        <w:lastRenderedPageBreak/>
        <w:t>Graf: Vývoj počtu obyvatel a narozených v </w:t>
      </w:r>
      <w:proofErr w:type="spellStart"/>
      <w:r>
        <w:t>Paběnicích</w:t>
      </w:r>
      <w:proofErr w:type="spellEnd"/>
    </w:p>
    <w:p w:rsidR="006D6D96" w:rsidRDefault="006D6D96" w:rsidP="006D6D96">
      <w:pPr>
        <w:pStyle w:val="Bezmezer"/>
      </w:pPr>
      <w:r w:rsidRPr="00234552">
        <w:rPr>
          <w:noProof/>
          <w:lang w:eastAsia="cs-CZ"/>
        </w:rPr>
        <w:drawing>
          <wp:inline distT="0" distB="0" distL="0" distR="0">
            <wp:extent cx="2860159" cy="2126512"/>
            <wp:effectExtent l="0" t="0" r="0" b="0"/>
            <wp:docPr id="40"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C24D07">
        <w:rPr>
          <w:noProof/>
          <w:lang w:eastAsia="cs-CZ"/>
        </w:rPr>
        <w:t xml:space="preserve"> </w:t>
      </w:r>
      <w:r w:rsidRPr="00234552">
        <w:rPr>
          <w:noProof/>
          <w:lang w:eastAsia="cs-CZ"/>
        </w:rPr>
        <w:drawing>
          <wp:inline distT="0" distB="0" distL="0" distR="0">
            <wp:extent cx="2860159" cy="2073349"/>
            <wp:effectExtent l="0" t="0" r="0" b="0"/>
            <wp:docPr id="41"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D6D96" w:rsidRDefault="006D6D96" w:rsidP="006D6D96">
      <w:pPr>
        <w:pStyle w:val="Nadpis5"/>
      </w:pPr>
      <w:r>
        <w:t>Graf: Vývoj počtu obyvatel a narozených v </w:t>
      </w:r>
      <w:proofErr w:type="spellStart"/>
      <w:r>
        <w:t>Rašovicích</w:t>
      </w:r>
      <w:proofErr w:type="spellEnd"/>
    </w:p>
    <w:p w:rsidR="006D6D96" w:rsidRDefault="006D6D96" w:rsidP="006D6D96">
      <w:pPr>
        <w:pStyle w:val="Bezmezer"/>
      </w:pPr>
      <w:r w:rsidRPr="00337566">
        <w:rPr>
          <w:noProof/>
          <w:lang w:eastAsia="cs-CZ"/>
        </w:rPr>
        <w:drawing>
          <wp:inline distT="0" distB="0" distL="0" distR="0">
            <wp:extent cx="2860159" cy="2137144"/>
            <wp:effectExtent l="0" t="0" r="0" b="0"/>
            <wp:docPr id="44" name="Graf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C24D07">
        <w:rPr>
          <w:noProof/>
          <w:lang w:eastAsia="cs-CZ"/>
        </w:rPr>
        <w:t xml:space="preserve"> </w:t>
      </w:r>
      <w:r w:rsidRPr="00337566">
        <w:rPr>
          <w:noProof/>
          <w:lang w:eastAsia="cs-CZ"/>
        </w:rPr>
        <w:drawing>
          <wp:inline distT="0" distB="0" distL="0" distR="0">
            <wp:extent cx="2860158" cy="2137144"/>
            <wp:effectExtent l="0" t="0" r="0" b="0"/>
            <wp:docPr id="45" name="Graf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D6D96" w:rsidRDefault="006D6D96" w:rsidP="006D6D96">
      <w:pPr>
        <w:pStyle w:val="Nadpis5"/>
      </w:pPr>
      <w:r>
        <w:t>Graf: Vývoj počtu obyvatel a narozených v Samopších</w:t>
      </w:r>
    </w:p>
    <w:p w:rsidR="006D6D96" w:rsidRDefault="006D6D96" w:rsidP="006D6D96">
      <w:pPr>
        <w:pStyle w:val="Bezmezer"/>
      </w:pPr>
      <w:r w:rsidRPr="00C63465">
        <w:rPr>
          <w:noProof/>
          <w:lang w:eastAsia="cs-CZ"/>
        </w:rPr>
        <w:drawing>
          <wp:inline distT="0" distB="0" distL="0" distR="0">
            <wp:extent cx="2948867" cy="2137144"/>
            <wp:effectExtent l="0" t="0" r="0" b="0"/>
            <wp:docPr id="52" name="Graf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C24D07">
        <w:rPr>
          <w:noProof/>
          <w:lang w:eastAsia="cs-CZ"/>
        </w:rPr>
        <w:t xml:space="preserve"> </w:t>
      </w:r>
      <w:r w:rsidRPr="00C63465">
        <w:rPr>
          <w:noProof/>
          <w:lang w:eastAsia="cs-CZ"/>
        </w:rPr>
        <w:drawing>
          <wp:inline distT="0" distB="0" distL="0" distR="0">
            <wp:extent cx="2721935" cy="2062717"/>
            <wp:effectExtent l="0" t="0" r="0" b="0"/>
            <wp:docPr id="53" name="Graf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D6D96" w:rsidRDefault="006D6D96" w:rsidP="006D6D96">
      <w:pPr>
        <w:pStyle w:val="Nadpis5"/>
      </w:pPr>
      <w:r>
        <w:lastRenderedPageBreak/>
        <w:t xml:space="preserve">Graf: Vývoj počtu obyvatel a narozených ve </w:t>
      </w:r>
      <w:proofErr w:type="spellStart"/>
      <w:r>
        <w:t>Staňkovicích</w:t>
      </w:r>
      <w:proofErr w:type="spellEnd"/>
    </w:p>
    <w:p w:rsidR="006D6D96" w:rsidRDefault="006D6D96" w:rsidP="006D6D96">
      <w:pPr>
        <w:pStyle w:val="Bezmezer"/>
      </w:pPr>
      <w:r w:rsidRPr="00DF7D04">
        <w:rPr>
          <w:noProof/>
          <w:lang w:eastAsia="cs-CZ"/>
        </w:rPr>
        <w:drawing>
          <wp:inline distT="0" distB="0" distL="0" distR="0">
            <wp:extent cx="2945219" cy="2126512"/>
            <wp:effectExtent l="0" t="0" r="0" b="0"/>
            <wp:docPr id="58" name="Graf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C24D07">
        <w:rPr>
          <w:noProof/>
          <w:lang w:eastAsia="cs-CZ"/>
        </w:rPr>
        <w:t xml:space="preserve"> </w:t>
      </w:r>
      <w:r w:rsidRPr="00DF7D04">
        <w:rPr>
          <w:noProof/>
          <w:lang w:eastAsia="cs-CZ"/>
        </w:rPr>
        <w:drawing>
          <wp:inline distT="0" distB="0" distL="0" distR="0">
            <wp:extent cx="2732567" cy="2126512"/>
            <wp:effectExtent l="0" t="0" r="0" b="0"/>
            <wp:docPr id="59" name="Graf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D6D96" w:rsidRDefault="006D6D96" w:rsidP="006D6D96">
      <w:pPr>
        <w:pStyle w:val="Nadpis5"/>
      </w:pPr>
      <w:r>
        <w:t xml:space="preserve">Graf: Vývoj počtu obyvatel a narozených v </w:t>
      </w:r>
      <w:proofErr w:type="spellStart"/>
      <w:r>
        <w:t>Sudějově</w:t>
      </w:r>
      <w:proofErr w:type="spellEnd"/>
    </w:p>
    <w:p w:rsidR="006D6D96" w:rsidRDefault="006D6D96" w:rsidP="006D6D96">
      <w:pPr>
        <w:pStyle w:val="Bezmezer"/>
      </w:pPr>
      <w:r w:rsidRPr="00CE63B9">
        <w:rPr>
          <w:noProof/>
          <w:lang w:eastAsia="cs-CZ"/>
        </w:rPr>
        <w:drawing>
          <wp:inline distT="0" distB="0" distL="0" distR="0">
            <wp:extent cx="2977117" cy="2126511"/>
            <wp:effectExtent l="0" t="0" r="0" b="0"/>
            <wp:docPr id="60" name="Graf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C24D07">
        <w:rPr>
          <w:noProof/>
          <w:lang w:eastAsia="cs-CZ"/>
        </w:rPr>
        <w:t xml:space="preserve"> </w:t>
      </w:r>
      <w:r w:rsidRPr="00CE63B9">
        <w:rPr>
          <w:noProof/>
          <w:lang w:eastAsia="cs-CZ"/>
        </w:rPr>
        <w:drawing>
          <wp:inline distT="0" distB="0" distL="0" distR="0">
            <wp:extent cx="2743200" cy="2126511"/>
            <wp:effectExtent l="0" t="0" r="0" b="0"/>
            <wp:docPr id="61" name="Graf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D6D96" w:rsidRDefault="006D6D96" w:rsidP="006D6D96">
      <w:pPr>
        <w:pStyle w:val="Nadpis5"/>
      </w:pPr>
      <w:r>
        <w:t xml:space="preserve">Graf: Vývoj počtu obyvatel a narozených v </w:t>
      </w:r>
      <w:proofErr w:type="spellStart"/>
      <w:proofErr w:type="gramStart"/>
      <w:r>
        <w:t>Suchdole</w:t>
      </w:r>
      <w:proofErr w:type="spellEnd"/>
      <w:proofErr w:type="gramEnd"/>
    </w:p>
    <w:p w:rsidR="006D6D96" w:rsidRDefault="006D6D96" w:rsidP="006D6D96">
      <w:pPr>
        <w:pStyle w:val="Bezmezer"/>
      </w:pPr>
      <w:r w:rsidRPr="002D21D2">
        <w:rPr>
          <w:noProof/>
          <w:lang w:eastAsia="cs-CZ"/>
        </w:rPr>
        <w:drawing>
          <wp:inline distT="0" distB="0" distL="0" distR="0">
            <wp:extent cx="2860159" cy="2211572"/>
            <wp:effectExtent l="0" t="0" r="0" b="0"/>
            <wp:docPr id="62" name="Graf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2D21D2">
        <w:rPr>
          <w:noProof/>
          <w:lang w:eastAsia="cs-CZ"/>
        </w:rPr>
        <w:t xml:space="preserve"> </w:t>
      </w:r>
      <w:r w:rsidRPr="002D21D2">
        <w:rPr>
          <w:noProof/>
          <w:lang w:eastAsia="cs-CZ"/>
        </w:rPr>
        <w:drawing>
          <wp:inline distT="0" distB="0" distL="0" distR="0">
            <wp:extent cx="2860158" cy="2211572"/>
            <wp:effectExtent l="0" t="0" r="0" b="0"/>
            <wp:docPr id="63" name="Graf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D6D96" w:rsidRDefault="006D6D96" w:rsidP="006D6D96">
      <w:pPr>
        <w:pStyle w:val="Nadpis5"/>
      </w:pPr>
      <w:r>
        <w:lastRenderedPageBreak/>
        <w:t>Graf: Vývoj počtu obyvatel a narozených ve Svatém Mikuláši</w:t>
      </w:r>
    </w:p>
    <w:p w:rsidR="006D6D96" w:rsidRDefault="006D6D96" w:rsidP="006D6D96">
      <w:pPr>
        <w:pStyle w:val="Bezmezer"/>
      </w:pPr>
      <w:r w:rsidRPr="00D11FAB">
        <w:rPr>
          <w:noProof/>
          <w:lang w:eastAsia="cs-CZ"/>
        </w:rPr>
        <w:drawing>
          <wp:inline distT="0" distB="0" distL="0" distR="0">
            <wp:extent cx="2860159" cy="2211572"/>
            <wp:effectExtent l="0" t="0" r="0" b="0"/>
            <wp:docPr id="70" name="Graf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2D21D2">
        <w:rPr>
          <w:noProof/>
          <w:lang w:eastAsia="cs-CZ"/>
        </w:rPr>
        <w:t xml:space="preserve"> </w:t>
      </w:r>
      <w:r w:rsidRPr="00D11FAB">
        <w:rPr>
          <w:noProof/>
          <w:lang w:eastAsia="cs-CZ"/>
        </w:rPr>
        <w:drawing>
          <wp:inline distT="0" distB="0" distL="0" distR="0">
            <wp:extent cx="2860158" cy="2211572"/>
            <wp:effectExtent l="0" t="0" r="0" b="0"/>
            <wp:docPr id="71" name="Graf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D6D96" w:rsidRDefault="006D6D96" w:rsidP="006D6D96">
      <w:pPr>
        <w:pStyle w:val="Nadpis5"/>
      </w:pPr>
      <w:r>
        <w:t xml:space="preserve">Graf: Vývoj počtu obyvatel a narozených ve </w:t>
      </w:r>
      <w:proofErr w:type="spellStart"/>
      <w:r>
        <w:t>Štipoklasech</w:t>
      </w:r>
      <w:proofErr w:type="spellEnd"/>
    </w:p>
    <w:p w:rsidR="006D6D96" w:rsidRDefault="006D6D96" w:rsidP="006D6D96">
      <w:pPr>
        <w:pStyle w:val="Bezmezer"/>
      </w:pPr>
      <w:r w:rsidRPr="005D247B">
        <w:rPr>
          <w:noProof/>
          <w:lang w:eastAsia="cs-CZ"/>
        </w:rPr>
        <w:drawing>
          <wp:inline distT="0" distB="0" distL="0" distR="0">
            <wp:extent cx="2860159" cy="2211572"/>
            <wp:effectExtent l="0" t="0" r="0" b="0"/>
            <wp:docPr id="74" name="Graf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2D21D2">
        <w:rPr>
          <w:noProof/>
          <w:lang w:eastAsia="cs-CZ"/>
        </w:rPr>
        <w:t xml:space="preserve"> </w:t>
      </w:r>
      <w:r w:rsidRPr="005D247B">
        <w:rPr>
          <w:noProof/>
          <w:lang w:eastAsia="cs-CZ"/>
        </w:rPr>
        <w:drawing>
          <wp:inline distT="0" distB="0" distL="0" distR="0">
            <wp:extent cx="2806996" cy="2211572"/>
            <wp:effectExtent l="0" t="0" r="0" b="0"/>
            <wp:docPr id="75" name="Graf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6D6D96" w:rsidRDefault="006D6D96" w:rsidP="006D6D96">
      <w:pPr>
        <w:pStyle w:val="Nadpis5"/>
      </w:pPr>
      <w:r>
        <w:t xml:space="preserve">Graf: Vývoj počtu obyvatel a narozených v </w:t>
      </w:r>
      <w:proofErr w:type="spellStart"/>
      <w:r>
        <w:t>Úmoníně</w:t>
      </w:r>
      <w:proofErr w:type="spellEnd"/>
    </w:p>
    <w:p w:rsidR="006D6D96" w:rsidRDefault="006D6D96" w:rsidP="006D6D96">
      <w:pPr>
        <w:pStyle w:val="Bezmezer"/>
      </w:pPr>
      <w:r w:rsidRPr="00F62164">
        <w:rPr>
          <w:noProof/>
          <w:lang w:eastAsia="cs-CZ"/>
        </w:rPr>
        <w:drawing>
          <wp:inline distT="0" distB="0" distL="0" distR="0">
            <wp:extent cx="2892056" cy="2211572"/>
            <wp:effectExtent l="0" t="0" r="0" b="0"/>
            <wp:docPr id="78" name="Graf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2D21D2">
        <w:rPr>
          <w:noProof/>
          <w:lang w:eastAsia="cs-CZ"/>
        </w:rPr>
        <w:t xml:space="preserve"> </w:t>
      </w:r>
      <w:r w:rsidRPr="00F62164">
        <w:rPr>
          <w:noProof/>
          <w:lang w:eastAsia="cs-CZ"/>
        </w:rPr>
        <w:drawing>
          <wp:inline distT="0" distB="0" distL="0" distR="0">
            <wp:extent cx="2828260" cy="2211572"/>
            <wp:effectExtent l="0" t="0" r="0" b="0"/>
            <wp:docPr id="79" name="Graf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6D6D96" w:rsidRDefault="006D6D96" w:rsidP="006D6D96">
      <w:pPr>
        <w:pStyle w:val="Nadpis5"/>
      </w:pPr>
      <w:r>
        <w:lastRenderedPageBreak/>
        <w:t xml:space="preserve">Graf: Vývoj počtu obyvatel a narozených v </w:t>
      </w:r>
      <w:proofErr w:type="spellStart"/>
      <w:r>
        <w:t>Úžicích</w:t>
      </w:r>
      <w:proofErr w:type="spellEnd"/>
    </w:p>
    <w:p w:rsidR="006D6D96" w:rsidRDefault="006D6D96" w:rsidP="006D6D96">
      <w:pPr>
        <w:pStyle w:val="Bezmezer"/>
      </w:pPr>
      <w:r w:rsidRPr="008C2BDC">
        <w:rPr>
          <w:noProof/>
          <w:lang w:eastAsia="cs-CZ"/>
        </w:rPr>
        <w:drawing>
          <wp:inline distT="0" distB="0" distL="0" distR="0">
            <wp:extent cx="2881424" cy="2211572"/>
            <wp:effectExtent l="0" t="0" r="0" b="0"/>
            <wp:docPr id="84" name="Graf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2D21D2">
        <w:rPr>
          <w:noProof/>
          <w:lang w:eastAsia="cs-CZ"/>
        </w:rPr>
        <w:t xml:space="preserve"> </w:t>
      </w:r>
      <w:r w:rsidRPr="008C2BDC">
        <w:rPr>
          <w:noProof/>
          <w:lang w:eastAsia="cs-CZ"/>
        </w:rPr>
        <w:drawing>
          <wp:inline distT="0" distB="0" distL="0" distR="0">
            <wp:extent cx="2796363" cy="2211572"/>
            <wp:effectExtent l="0" t="0" r="0" b="0"/>
            <wp:docPr id="85" name="Graf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D6D96" w:rsidRDefault="006D6D96" w:rsidP="006D6D96">
      <w:pPr>
        <w:pStyle w:val="Nadpis5"/>
      </w:pPr>
      <w:r>
        <w:t xml:space="preserve">Graf: Vývoj počtu obyvatel a narozených ve </w:t>
      </w:r>
      <w:proofErr w:type="spellStart"/>
      <w:r>
        <w:t>Vavřinci</w:t>
      </w:r>
      <w:proofErr w:type="spellEnd"/>
    </w:p>
    <w:p w:rsidR="006D6D96" w:rsidRDefault="006D6D96" w:rsidP="006D6D96">
      <w:pPr>
        <w:pStyle w:val="Bezmezer"/>
      </w:pPr>
      <w:r w:rsidRPr="00E40773">
        <w:rPr>
          <w:noProof/>
          <w:lang w:eastAsia="cs-CZ"/>
        </w:rPr>
        <w:drawing>
          <wp:inline distT="0" distB="0" distL="0" distR="0">
            <wp:extent cx="2913321" cy="2211572"/>
            <wp:effectExtent l="0" t="0" r="1329" b="0"/>
            <wp:docPr id="88" name="Graf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2D21D2">
        <w:rPr>
          <w:noProof/>
          <w:lang w:eastAsia="cs-CZ"/>
        </w:rPr>
        <w:t xml:space="preserve"> </w:t>
      </w:r>
      <w:r w:rsidRPr="00E40773">
        <w:rPr>
          <w:noProof/>
          <w:lang w:eastAsia="cs-CZ"/>
        </w:rPr>
        <w:drawing>
          <wp:inline distT="0" distB="0" distL="0" distR="0">
            <wp:extent cx="2743200" cy="2211572"/>
            <wp:effectExtent l="0" t="0" r="0" b="0"/>
            <wp:docPr id="89" name="Graf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D6D96" w:rsidRDefault="006D6D96" w:rsidP="006D6D96">
      <w:pPr>
        <w:pStyle w:val="Nadpis5"/>
      </w:pPr>
      <w:r>
        <w:t xml:space="preserve">Graf: Vývoj počtu obyvatel a narozených ve </w:t>
      </w:r>
      <w:proofErr w:type="spellStart"/>
      <w:r>
        <w:t>Vidicích</w:t>
      </w:r>
      <w:proofErr w:type="spellEnd"/>
    </w:p>
    <w:p w:rsidR="006D6D96" w:rsidRDefault="006D6D96" w:rsidP="006D6D96">
      <w:pPr>
        <w:pStyle w:val="Bezmezer"/>
      </w:pPr>
      <w:r w:rsidRPr="00C51719">
        <w:rPr>
          <w:noProof/>
          <w:lang w:eastAsia="cs-CZ"/>
        </w:rPr>
        <w:drawing>
          <wp:inline distT="0" distB="0" distL="0" distR="0">
            <wp:extent cx="2952042" cy="2147777"/>
            <wp:effectExtent l="0" t="0" r="708" b="0"/>
            <wp:docPr id="92" name="Graf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2D21D2">
        <w:rPr>
          <w:noProof/>
          <w:lang w:eastAsia="cs-CZ"/>
        </w:rPr>
        <w:t xml:space="preserve"> </w:t>
      </w:r>
      <w:r w:rsidRPr="00C51719">
        <w:rPr>
          <w:noProof/>
          <w:lang w:eastAsia="cs-CZ"/>
        </w:rPr>
        <w:drawing>
          <wp:inline distT="0" distB="0" distL="0" distR="0">
            <wp:extent cx="2753833" cy="2147777"/>
            <wp:effectExtent l="0" t="0" r="0" b="0"/>
            <wp:docPr id="93" name="Graf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D6D96" w:rsidRDefault="006D6D96" w:rsidP="006D6D96">
      <w:pPr>
        <w:pStyle w:val="Nadpis5"/>
      </w:pPr>
      <w:r>
        <w:lastRenderedPageBreak/>
        <w:t>Graf: Vývoj počtu obyvatel a narozených v Záboří nad Labem</w:t>
      </w:r>
    </w:p>
    <w:p w:rsidR="006D6D96" w:rsidRDefault="006D6D96" w:rsidP="006D6D96">
      <w:pPr>
        <w:pStyle w:val="Bezmezer"/>
      </w:pPr>
      <w:r w:rsidRPr="004C73F4">
        <w:rPr>
          <w:noProof/>
          <w:lang w:eastAsia="cs-CZ"/>
        </w:rPr>
        <w:drawing>
          <wp:inline distT="0" distB="0" distL="0" distR="0">
            <wp:extent cx="2955852" cy="2200940"/>
            <wp:effectExtent l="0" t="0" r="0" b="0"/>
            <wp:docPr id="94" name="Graf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Pr="002D21D2">
        <w:rPr>
          <w:noProof/>
          <w:lang w:eastAsia="cs-CZ"/>
        </w:rPr>
        <w:t xml:space="preserve"> </w:t>
      </w:r>
      <w:r w:rsidRPr="004C73F4">
        <w:rPr>
          <w:noProof/>
          <w:lang w:eastAsia="cs-CZ"/>
        </w:rPr>
        <w:drawing>
          <wp:inline distT="0" distB="0" distL="0" distR="0">
            <wp:extent cx="2753833" cy="2200940"/>
            <wp:effectExtent l="0" t="0" r="0" b="0"/>
            <wp:docPr id="97" name="Graf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D6D96" w:rsidRDefault="006D6D96" w:rsidP="006D6D96">
      <w:pPr>
        <w:pStyle w:val="Nadpis5"/>
      </w:pPr>
      <w:r>
        <w:t xml:space="preserve">Graf: Vývoj počtu obyvatel a narozených ve </w:t>
      </w:r>
      <w:proofErr w:type="spellStart"/>
      <w:r>
        <w:t>Zbizubech</w:t>
      </w:r>
      <w:proofErr w:type="spellEnd"/>
    </w:p>
    <w:p w:rsidR="006D6D96" w:rsidRDefault="006D6D96" w:rsidP="006D6D96">
      <w:pPr>
        <w:pStyle w:val="Bezmezer"/>
      </w:pPr>
      <w:r w:rsidRPr="000A256D">
        <w:rPr>
          <w:noProof/>
          <w:lang w:eastAsia="cs-CZ"/>
        </w:rPr>
        <w:drawing>
          <wp:inline distT="0" distB="0" distL="0" distR="0">
            <wp:extent cx="2860159" cy="2137144"/>
            <wp:effectExtent l="0" t="0" r="0" b="0"/>
            <wp:docPr id="98" name="Graf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2D21D2">
        <w:rPr>
          <w:noProof/>
          <w:lang w:eastAsia="cs-CZ"/>
        </w:rPr>
        <w:t xml:space="preserve"> </w:t>
      </w:r>
      <w:r w:rsidRPr="000A256D">
        <w:rPr>
          <w:noProof/>
          <w:lang w:eastAsia="cs-CZ"/>
        </w:rPr>
        <w:drawing>
          <wp:inline distT="0" distB="0" distL="0" distR="0">
            <wp:extent cx="2860158" cy="2137145"/>
            <wp:effectExtent l="0" t="0" r="0" b="0"/>
            <wp:docPr id="101" name="Graf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6D6D96" w:rsidRDefault="006D6D96" w:rsidP="006D6D96">
      <w:pPr>
        <w:pStyle w:val="Nadpis5"/>
      </w:pPr>
      <w:r>
        <w:t>Graf: Vývoj počtu obyvatel a narozených ve Zbraslavicích</w:t>
      </w:r>
    </w:p>
    <w:p w:rsidR="006D6D96" w:rsidRDefault="006D6D96" w:rsidP="006D6D96">
      <w:pPr>
        <w:pStyle w:val="Bezmezer"/>
      </w:pPr>
      <w:r w:rsidRPr="006B5D5A">
        <w:rPr>
          <w:noProof/>
          <w:lang w:eastAsia="cs-CZ"/>
        </w:rPr>
        <w:drawing>
          <wp:inline distT="0" distB="0" distL="0" distR="0">
            <wp:extent cx="2892056" cy="2137145"/>
            <wp:effectExtent l="0" t="0" r="3544" b="0"/>
            <wp:docPr id="102" name="Graf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2D21D2">
        <w:rPr>
          <w:noProof/>
          <w:lang w:eastAsia="cs-CZ"/>
        </w:rPr>
        <w:t xml:space="preserve"> </w:t>
      </w:r>
      <w:r w:rsidRPr="006B5D5A">
        <w:rPr>
          <w:noProof/>
          <w:lang w:eastAsia="cs-CZ"/>
        </w:rPr>
        <w:drawing>
          <wp:inline distT="0" distB="0" distL="0" distR="0">
            <wp:extent cx="2743200" cy="2137145"/>
            <wp:effectExtent l="0" t="0" r="0" b="0"/>
            <wp:docPr id="105" name="Graf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D6D96" w:rsidRPr="00E6133C" w:rsidRDefault="006D6D96" w:rsidP="006D6D96">
      <w:pPr>
        <w:pStyle w:val="Nadpis3"/>
      </w:pPr>
      <w:bookmarkStart w:id="37" w:name="_Toc465592584"/>
      <w:r>
        <w:t>obce se stagnujícím demografickým vývojem</w:t>
      </w:r>
      <w:bookmarkEnd w:id="37"/>
    </w:p>
    <w:p w:rsidR="006D6D96" w:rsidRDefault="006D6D96" w:rsidP="006D6D96">
      <w:pPr>
        <w:pStyle w:val="Bezmezer"/>
      </w:pPr>
      <w:r>
        <w:t xml:space="preserve">V této kategorii se nachází pouze 9 obcí, tedy nejméně ze všech kategorií. Nacházejí se zde zejména obce, jež zažily v devadesátých letech na své poměry hluboký propad, který se od přelomu tisíciletí snaží především „brzdit“, s čímž jsou spojené relativně velké výkyvy oscilující však často kolem určité středové hodnoty (Černíny, Dolní Pohleď, Horka II, </w:t>
      </w:r>
      <w:proofErr w:type="spellStart"/>
      <w:r>
        <w:lastRenderedPageBreak/>
        <w:t>Nepoměřice</w:t>
      </w:r>
      <w:proofErr w:type="spellEnd"/>
      <w:r>
        <w:t xml:space="preserve">, </w:t>
      </w:r>
      <w:proofErr w:type="spellStart"/>
      <w:r>
        <w:t>Petrovice</w:t>
      </w:r>
      <w:proofErr w:type="spellEnd"/>
      <w:r>
        <w:t xml:space="preserve"> II, </w:t>
      </w:r>
      <w:proofErr w:type="spellStart"/>
      <w:r>
        <w:t>Podveky</w:t>
      </w:r>
      <w:proofErr w:type="spellEnd"/>
      <w:r>
        <w:t xml:space="preserve">, </w:t>
      </w:r>
      <w:proofErr w:type="spellStart"/>
      <w:r>
        <w:t>Řendějov</w:t>
      </w:r>
      <w:proofErr w:type="spellEnd"/>
      <w:r>
        <w:t xml:space="preserve">, </w:t>
      </w:r>
      <w:proofErr w:type="spellStart"/>
      <w:r>
        <w:t>Slavošov</w:t>
      </w:r>
      <w:proofErr w:type="spellEnd"/>
      <w:r>
        <w:t>). Výjimkou je městys Nové Dvory, který po přelomu tisíciletí naopak zažil velký nárůst obyvatel trvající však velmi krátce a následný zpětný výrazný pokles na předchozí úroveň.</w:t>
      </w:r>
    </w:p>
    <w:p w:rsidR="006D6D96" w:rsidRDefault="006D6D96" w:rsidP="006D6D96">
      <w:pPr>
        <w:pStyle w:val="Bezmezer"/>
      </w:pPr>
      <w:r>
        <w:t xml:space="preserve">V poměru k počtu obcí se v této kategorii rovněž nachází nejvíce velmi nízkých hodnot spolehlivosti trendu (jednou 0,4 a třikrát 0,1!). Proto i když v těchto případech spojnice trendu vykazovala růst, jednalo se o růst odrážející se z historického propadu a jeho věrohodnost nebyla tak silná, aby došlo </w:t>
      </w:r>
      <w:r>
        <w:rPr>
          <w:rFonts w:hint="eastAsia"/>
        </w:rPr>
        <w:t>zařazení</w:t>
      </w:r>
      <w:r>
        <w:t xml:space="preserve"> mezi progresivní obce. </w:t>
      </w:r>
    </w:p>
    <w:p w:rsidR="006D6D96" w:rsidRDefault="006D6D96" w:rsidP="006D6D96">
      <w:pPr>
        <w:pStyle w:val="Nadpis5"/>
      </w:pPr>
      <w:r>
        <w:t>Graf: Vývoj počtu obyvatel a narozených v Černínech</w:t>
      </w:r>
    </w:p>
    <w:p w:rsidR="006D6D96" w:rsidRDefault="006D6D96" w:rsidP="006D6D96">
      <w:pPr>
        <w:pStyle w:val="Bezmezer"/>
      </w:pPr>
      <w:r w:rsidRPr="00E4382E">
        <w:rPr>
          <w:noProof/>
          <w:lang w:eastAsia="cs-CZ"/>
        </w:rPr>
        <w:drawing>
          <wp:inline distT="0" distB="0" distL="0" distR="0">
            <wp:extent cx="2945219" cy="2349795"/>
            <wp:effectExtent l="0" t="0" r="7531" b="0"/>
            <wp:docPr id="106"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E4382E">
        <w:rPr>
          <w:noProof/>
          <w:lang w:eastAsia="cs-CZ"/>
        </w:rPr>
        <w:t xml:space="preserve"> </w:t>
      </w:r>
      <w:r w:rsidRPr="00E4382E">
        <w:rPr>
          <w:noProof/>
          <w:lang w:eastAsia="cs-CZ"/>
        </w:rPr>
        <w:drawing>
          <wp:inline distT="0" distB="0" distL="0" distR="0">
            <wp:extent cx="2743200" cy="2349795"/>
            <wp:effectExtent l="0" t="0" r="0" b="0"/>
            <wp:docPr id="109"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D6D96" w:rsidRDefault="006D6D96" w:rsidP="006D6D96">
      <w:pPr>
        <w:pStyle w:val="Nadpis5"/>
      </w:pPr>
      <w:r>
        <w:t xml:space="preserve">Graf: Vývoj počtu obyvatel a narozených v Dolní </w:t>
      </w:r>
      <w:proofErr w:type="spellStart"/>
      <w:r>
        <w:t>Pohledi</w:t>
      </w:r>
      <w:proofErr w:type="spellEnd"/>
    </w:p>
    <w:p w:rsidR="006D6D96" w:rsidRDefault="006D6D96" w:rsidP="006D6D96">
      <w:pPr>
        <w:pStyle w:val="Bezmezer"/>
      </w:pPr>
      <w:r w:rsidRPr="00A56BB3">
        <w:rPr>
          <w:noProof/>
          <w:lang w:eastAsia="cs-CZ"/>
        </w:rPr>
        <w:drawing>
          <wp:inline distT="0" distB="0" distL="0" distR="0">
            <wp:extent cx="2796363" cy="2317898"/>
            <wp:effectExtent l="0" t="0" r="3987" b="0"/>
            <wp:docPr id="110"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A56BB3">
        <w:rPr>
          <w:noProof/>
          <w:lang w:eastAsia="cs-CZ"/>
        </w:rPr>
        <w:t xml:space="preserve"> </w:t>
      </w:r>
      <w:r w:rsidRPr="00A56BB3">
        <w:rPr>
          <w:noProof/>
          <w:lang w:eastAsia="cs-CZ"/>
        </w:rPr>
        <w:drawing>
          <wp:inline distT="0" distB="0" distL="0" distR="0">
            <wp:extent cx="2796363" cy="2317898"/>
            <wp:effectExtent l="0" t="0" r="0" b="0"/>
            <wp:docPr id="113"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D6D96" w:rsidRDefault="006D6D96" w:rsidP="006D6D96">
      <w:pPr>
        <w:pStyle w:val="Nadpis5"/>
      </w:pPr>
      <w:r>
        <w:lastRenderedPageBreak/>
        <w:t>Graf: Vývoj počtu obyvatel a narozených v Horce II</w:t>
      </w:r>
    </w:p>
    <w:p w:rsidR="006D6D96" w:rsidRDefault="006D6D96" w:rsidP="006D6D96">
      <w:pPr>
        <w:pStyle w:val="Bezmezer"/>
      </w:pPr>
      <w:r w:rsidRPr="00077F2A">
        <w:rPr>
          <w:noProof/>
          <w:lang w:eastAsia="cs-CZ"/>
        </w:rPr>
        <w:drawing>
          <wp:inline distT="0" distB="0" distL="0" distR="0">
            <wp:extent cx="2838893" cy="2317897"/>
            <wp:effectExtent l="0" t="0" r="0" b="0"/>
            <wp:docPr id="114"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Pr="00A56BB3">
        <w:rPr>
          <w:noProof/>
          <w:lang w:eastAsia="cs-CZ"/>
        </w:rPr>
        <w:t xml:space="preserve"> </w:t>
      </w:r>
      <w:r w:rsidRPr="00077F2A">
        <w:rPr>
          <w:noProof/>
          <w:lang w:eastAsia="cs-CZ"/>
        </w:rPr>
        <w:drawing>
          <wp:inline distT="0" distB="0" distL="0" distR="0">
            <wp:extent cx="2838893" cy="2317897"/>
            <wp:effectExtent l="0" t="0" r="0" b="0"/>
            <wp:docPr id="117"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6D6D96" w:rsidRDefault="006D6D96" w:rsidP="006D6D96">
      <w:pPr>
        <w:pStyle w:val="Nadpis5"/>
      </w:pPr>
      <w:r>
        <w:t>Graf: Vývoj počtu obyvatel a narozených v </w:t>
      </w:r>
      <w:proofErr w:type="spellStart"/>
      <w:r>
        <w:t>Nepoměřicích</w:t>
      </w:r>
      <w:proofErr w:type="spellEnd"/>
    </w:p>
    <w:p w:rsidR="006D6D96" w:rsidRDefault="006D6D96" w:rsidP="006D6D96">
      <w:pPr>
        <w:pStyle w:val="Bezmezer"/>
      </w:pPr>
      <w:r w:rsidRPr="00977DB2">
        <w:rPr>
          <w:noProof/>
          <w:lang w:eastAsia="cs-CZ"/>
        </w:rPr>
        <w:drawing>
          <wp:inline distT="0" distB="0" distL="0" distR="0">
            <wp:extent cx="2923954" cy="2381693"/>
            <wp:effectExtent l="0" t="0" r="0" b="0"/>
            <wp:docPr id="118"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Pr="00A56BB3">
        <w:rPr>
          <w:noProof/>
          <w:lang w:eastAsia="cs-CZ"/>
        </w:rPr>
        <w:t xml:space="preserve"> </w:t>
      </w:r>
      <w:r w:rsidRPr="00977DB2">
        <w:rPr>
          <w:noProof/>
          <w:lang w:eastAsia="cs-CZ"/>
        </w:rPr>
        <w:drawing>
          <wp:inline distT="0" distB="0" distL="0" distR="0">
            <wp:extent cx="2796363" cy="2381693"/>
            <wp:effectExtent l="0" t="0" r="0" b="0"/>
            <wp:docPr id="121"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6D6D96" w:rsidRDefault="006D6D96" w:rsidP="006D6D96">
      <w:pPr>
        <w:pStyle w:val="Nadpis5"/>
      </w:pPr>
      <w:r>
        <w:t>Graf: Vývoj počtu obyvatel a narozených v Nových Dvorech</w:t>
      </w:r>
    </w:p>
    <w:p w:rsidR="006D6D96" w:rsidRDefault="006D6D96" w:rsidP="006D6D96">
      <w:pPr>
        <w:pStyle w:val="Bezmezer"/>
      </w:pPr>
      <w:r w:rsidRPr="00303B96">
        <w:rPr>
          <w:noProof/>
          <w:lang w:eastAsia="cs-CZ"/>
        </w:rPr>
        <w:drawing>
          <wp:inline distT="0" distB="0" distL="0" distR="0">
            <wp:extent cx="2923954" cy="2264734"/>
            <wp:effectExtent l="0" t="0" r="0" b="0"/>
            <wp:docPr id="122"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Pr="00A56BB3">
        <w:rPr>
          <w:noProof/>
          <w:lang w:eastAsia="cs-CZ"/>
        </w:rPr>
        <w:t xml:space="preserve"> </w:t>
      </w:r>
      <w:r w:rsidRPr="00303B96">
        <w:rPr>
          <w:noProof/>
          <w:lang w:eastAsia="cs-CZ"/>
        </w:rPr>
        <w:drawing>
          <wp:inline distT="0" distB="0" distL="0" distR="0">
            <wp:extent cx="2796362" cy="2232837"/>
            <wp:effectExtent l="0" t="0" r="0" b="0"/>
            <wp:docPr id="125" name="Graf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6D6D96" w:rsidRDefault="006D6D96" w:rsidP="006D6D96">
      <w:pPr>
        <w:pStyle w:val="Nadpis5"/>
      </w:pPr>
      <w:r>
        <w:lastRenderedPageBreak/>
        <w:t>Graf: Vývoj počtu obyvatel a narozených v </w:t>
      </w:r>
      <w:proofErr w:type="spellStart"/>
      <w:r>
        <w:t>Petrovicích</w:t>
      </w:r>
      <w:proofErr w:type="spellEnd"/>
      <w:r>
        <w:t xml:space="preserve"> II</w:t>
      </w:r>
    </w:p>
    <w:p w:rsidR="006D6D96" w:rsidRDefault="006D6D96" w:rsidP="006D6D96">
      <w:pPr>
        <w:pStyle w:val="Bezmezer"/>
      </w:pPr>
      <w:r w:rsidRPr="000455FE">
        <w:rPr>
          <w:noProof/>
          <w:lang w:eastAsia="cs-CZ"/>
        </w:rPr>
        <w:drawing>
          <wp:inline distT="0" distB="0" distL="0" distR="0">
            <wp:extent cx="2923954" cy="2232837"/>
            <wp:effectExtent l="0" t="0" r="0" b="0"/>
            <wp:docPr id="126"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A56BB3">
        <w:rPr>
          <w:noProof/>
          <w:lang w:eastAsia="cs-CZ"/>
        </w:rPr>
        <w:t xml:space="preserve"> </w:t>
      </w:r>
      <w:r w:rsidRPr="000455FE">
        <w:rPr>
          <w:noProof/>
          <w:lang w:eastAsia="cs-CZ"/>
        </w:rPr>
        <w:drawing>
          <wp:inline distT="0" distB="0" distL="0" distR="0">
            <wp:extent cx="2775097" cy="2158409"/>
            <wp:effectExtent l="0" t="0" r="0" b="0"/>
            <wp:docPr id="129"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6D6D96" w:rsidRDefault="006D6D96" w:rsidP="006D6D96">
      <w:pPr>
        <w:pStyle w:val="Nadpis5"/>
      </w:pPr>
      <w:r>
        <w:t>Graf: Vývoj počtu obyvatel a narozených v </w:t>
      </w:r>
      <w:proofErr w:type="spellStart"/>
      <w:r>
        <w:t>Podvekách</w:t>
      </w:r>
      <w:proofErr w:type="spellEnd"/>
    </w:p>
    <w:p w:rsidR="006D6D96" w:rsidRDefault="006D6D96" w:rsidP="006D6D96">
      <w:pPr>
        <w:pStyle w:val="Bezmezer"/>
      </w:pPr>
      <w:r w:rsidRPr="00FB6268">
        <w:rPr>
          <w:noProof/>
          <w:lang w:eastAsia="cs-CZ"/>
        </w:rPr>
        <w:drawing>
          <wp:inline distT="0" distB="0" distL="0" distR="0">
            <wp:extent cx="2870791" cy="2158409"/>
            <wp:effectExtent l="0" t="0" r="5759" b="0"/>
            <wp:docPr id="130"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Pr="00A56BB3">
        <w:rPr>
          <w:noProof/>
          <w:lang w:eastAsia="cs-CZ"/>
        </w:rPr>
        <w:t xml:space="preserve"> </w:t>
      </w:r>
      <w:r w:rsidRPr="00FB6268">
        <w:rPr>
          <w:noProof/>
          <w:lang w:eastAsia="cs-CZ"/>
        </w:rPr>
        <w:drawing>
          <wp:inline distT="0" distB="0" distL="0" distR="0">
            <wp:extent cx="2806995" cy="2158409"/>
            <wp:effectExtent l="0" t="0" r="0" b="0"/>
            <wp:docPr id="133" name="Graf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6D6D96" w:rsidRDefault="006D6D96" w:rsidP="006D6D96">
      <w:pPr>
        <w:pStyle w:val="Nadpis5"/>
      </w:pPr>
      <w:r>
        <w:t>Graf: Vývoj počtu obyvatel a narozených v </w:t>
      </w:r>
      <w:proofErr w:type="spellStart"/>
      <w:r>
        <w:t>Řendějově</w:t>
      </w:r>
      <w:proofErr w:type="spellEnd"/>
    </w:p>
    <w:p w:rsidR="006D6D96" w:rsidRDefault="006D6D96" w:rsidP="006D6D96">
      <w:pPr>
        <w:pStyle w:val="Bezmezer"/>
      </w:pPr>
      <w:r w:rsidRPr="00B43DE0">
        <w:rPr>
          <w:noProof/>
          <w:lang w:eastAsia="cs-CZ"/>
        </w:rPr>
        <w:drawing>
          <wp:inline distT="0" distB="0" distL="0" distR="0">
            <wp:extent cx="2870791" cy="2126511"/>
            <wp:effectExtent l="0" t="0" r="0" b="0"/>
            <wp:docPr id="134" name="Graf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Pr="00A56BB3">
        <w:rPr>
          <w:noProof/>
          <w:lang w:eastAsia="cs-CZ"/>
        </w:rPr>
        <w:t xml:space="preserve"> </w:t>
      </w:r>
      <w:r w:rsidRPr="00B43DE0">
        <w:rPr>
          <w:noProof/>
          <w:lang w:eastAsia="cs-CZ"/>
        </w:rPr>
        <w:drawing>
          <wp:inline distT="0" distB="0" distL="0" distR="0">
            <wp:extent cx="2817628" cy="2169042"/>
            <wp:effectExtent l="0" t="0" r="0" b="0"/>
            <wp:docPr id="137" name="Graf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6D6D96" w:rsidRDefault="006D6D96" w:rsidP="006D6D96">
      <w:pPr>
        <w:pStyle w:val="Nadpis5"/>
      </w:pPr>
      <w:r>
        <w:lastRenderedPageBreak/>
        <w:t xml:space="preserve">Graf: Vývoj počtu obyvatel a narozených ve </w:t>
      </w:r>
      <w:proofErr w:type="spellStart"/>
      <w:r>
        <w:t>Slavošově</w:t>
      </w:r>
      <w:proofErr w:type="spellEnd"/>
    </w:p>
    <w:p w:rsidR="006D6D96" w:rsidRDefault="006D6D96" w:rsidP="006D6D96">
      <w:pPr>
        <w:pStyle w:val="Bezmezer"/>
      </w:pPr>
      <w:r w:rsidRPr="00C63465">
        <w:rPr>
          <w:noProof/>
          <w:lang w:eastAsia="cs-CZ"/>
        </w:rPr>
        <w:drawing>
          <wp:inline distT="0" distB="0" distL="0" distR="0">
            <wp:extent cx="2875709" cy="2052083"/>
            <wp:effectExtent l="0" t="0" r="841" b="0"/>
            <wp:docPr id="138" name="Graf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r w:rsidRPr="00A56BB3">
        <w:rPr>
          <w:noProof/>
          <w:lang w:eastAsia="cs-CZ"/>
        </w:rPr>
        <w:t xml:space="preserve"> </w:t>
      </w:r>
      <w:r w:rsidRPr="00C63465">
        <w:rPr>
          <w:noProof/>
          <w:lang w:eastAsia="cs-CZ"/>
        </w:rPr>
        <w:drawing>
          <wp:inline distT="0" distB="0" distL="0" distR="0">
            <wp:extent cx="2806996" cy="2052084"/>
            <wp:effectExtent l="0" t="0" r="0" b="0"/>
            <wp:docPr id="141" name="Graf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6D6D96" w:rsidRPr="00E6133C" w:rsidRDefault="006D6D96" w:rsidP="006D6D96">
      <w:pPr>
        <w:pStyle w:val="Nadpis3"/>
      </w:pPr>
      <w:bookmarkStart w:id="38" w:name="_Toc465592585"/>
      <w:r>
        <w:t>obce s regresivním demografickým vývojem</w:t>
      </w:r>
      <w:bookmarkEnd w:id="38"/>
    </w:p>
    <w:p w:rsidR="006D6D96" w:rsidRDefault="006D6D96" w:rsidP="006D6D96">
      <w:pPr>
        <w:pStyle w:val="Bezmezer"/>
      </w:pPr>
      <w:r>
        <w:t>V této kategorii se nachází 12 obcí. Jak už bylo zmíněno výše, nachází se zde mimo jiné všechna tři největší města regionu, tedy Kutná Hora, Uhlířské Janovice a Zruč nad Sázavou. Mezi další velké samosprávy v této kategorii patří beze sporu Kácov a Rataje nad Sázavou. Důvod výskytu tří největších center celého SO ORP v této kategorii byl objasněn výše. Pokud si je tedy odmyslíme z obrázku níže, ukáže se, že zbylé obce se nacházejí v periferní oblasti při jižním okraji SO ORP. Tato oblast spadá do tzv. vnitřní periferie zahrnující značnou část pomezí krajů Středočeského a Vysočiny a vykazující horší charakteristiky z hlediska dopravní dostupnosti (až na dálnici D1 procházející pomezím), hospodářství a v důsledku tedy i charakteristiky demografické.</w:t>
      </w:r>
    </w:p>
    <w:p w:rsidR="006D6D96" w:rsidRDefault="006D6D96" w:rsidP="006D6D96">
      <w:pPr>
        <w:pStyle w:val="Bezmezer"/>
      </w:pPr>
      <w:r>
        <w:t xml:space="preserve">Nepřívětivou situaci podtrhuje fakt, že ani jeden graf nedisponuje spojnicí trendu, jejíž hodnota spolehlivosti by byla nižší než 0,5. Stejně tak vývoje počtů narozených dětí ve většině případů klesají nebo stagnují. Najdou se však i výjimky (nejvýrazněji asi </w:t>
      </w:r>
      <w:proofErr w:type="spellStart"/>
      <w:r>
        <w:t>Chabeřice</w:t>
      </w:r>
      <w:proofErr w:type="spellEnd"/>
      <w:r>
        <w:t xml:space="preserve"> a Kácov).</w:t>
      </w:r>
    </w:p>
    <w:p w:rsidR="006D6D96" w:rsidRDefault="006D6D96" w:rsidP="006D6D96">
      <w:pPr>
        <w:pStyle w:val="Nadpis5"/>
      </w:pPr>
      <w:r>
        <w:t>Graf: Vývoj počtu obyvatel a narozených v Červených Janovicích</w:t>
      </w:r>
    </w:p>
    <w:p w:rsidR="006D6D96" w:rsidRDefault="006D6D96" w:rsidP="006D6D96">
      <w:pPr>
        <w:pStyle w:val="Bezmezer"/>
      </w:pPr>
      <w:r w:rsidRPr="008B5D2C">
        <w:rPr>
          <w:noProof/>
          <w:lang w:eastAsia="cs-CZ"/>
        </w:rPr>
        <w:drawing>
          <wp:inline distT="0" distB="0" distL="0" distR="0">
            <wp:extent cx="2948867" cy="2339163"/>
            <wp:effectExtent l="0" t="0" r="3883" b="0"/>
            <wp:docPr id="142"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r w:rsidRPr="00E4382E">
        <w:rPr>
          <w:noProof/>
          <w:lang w:eastAsia="cs-CZ"/>
        </w:rPr>
        <w:t xml:space="preserve"> </w:t>
      </w:r>
      <w:r w:rsidRPr="008B5D2C">
        <w:rPr>
          <w:noProof/>
          <w:lang w:eastAsia="cs-CZ"/>
        </w:rPr>
        <w:drawing>
          <wp:inline distT="0" distB="0" distL="0" distR="0">
            <wp:extent cx="2753833" cy="2339163"/>
            <wp:effectExtent l="0" t="0" r="0" b="0"/>
            <wp:docPr id="145"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6D6D96" w:rsidRDefault="006D6D96" w:rsidP="006D6D96">
      <w:pPr>
        <w:pStyle w:val="Nadpis5"/>
      </w:pPr>
      <w:r>
        <w:lastRenderedPageBreak/>
        <w:t>Graf: Vývoj počtu obyvatel a narozených v </w:t>
      </w:r>
      <w:proofErr w:type="spellStart"/>
      <w:r>
        <w:t>Chabeřicích</w:t>
      </w:r>
      <w:proofErr w:type="spellEnd"/>
    </w:p>
    <w:p w:rsidR="006D6D96" w:rsidRDefault="006D6D96" w:rsidP="006D6D96">
      <w:pPr>
        <w:pStyle w:val="Bezmezer"/>
      </w:pPr>
      <w:r w:rsidRPr="00846842">
        <w:rPr>
          <w:noProof/>
          <w:lang w:eastAsia="cs-CZ"/>
        </w:rPr>
        <w:drawing>
          <wp:inline distT="0" distB="0" distL="0" distR="0">
            <wp:extent cx="2952042" cy="2339163"/>
            <wp:effectExtent l="0" t="0" r="708" b="0"/>
            <wp:docPr id="146"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r w:rsidRPr="00E4382E">
        <w:rPr>
          <w:noProof/>
          <w:lang w:eastAsia="cs-CZ"/>
        </w:rPr>
        <w:t xml:space="preserve"> </w:t>
      </w:r>
      <w:r w:rsidRPr="00900095">
        <w:rPr>
          <w:noProof/>
          <w:lang w:eastAsia="cs-CZ"/>
        </w:rPr>
        <w:drawing>
          <wp:inline distT="0" distB="0" distL="0" distR="0">
            <wp:extent cx="2753833" cy="2339163"/>
            <wp:effectExtent l="0" t="0" r="0" b="0"/>
            <wp:docPr id="149"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6D6D96" w:rsidRDefault="006D6D96" w:rsidP="006D6D96">
      <w:pPr>
        <w:pStyle w:val="Nadpis5"/>
      </w:pPr>
      <w:r>
        <w:t>Graf: Vývoj počtu obyvatel a narozených v Kácově</w:t>
      </w:r>
    </w:p>
    <w:p w:rsidR="006D6D96" w:rsidRDefault="006D6D96" w:rsidP="006D6D96">
      <w:pPr>
        <w:pStyle w:val="Bezmezer"/>
      </w:pPr>
      <w:r w:rsidRPr="009E20A5">
        <w:rPr>
          <w:noProof/>
          <w:lang w:eastAsia="cs-CZ"/>
        </w:rPr>
        <w:drawing>
          <wp:inline distT="0" distB="0" distL="0" distR="0">
            <wp:extent cx="2955852" cy="2339163"/>
            <wp:effectExtent l="0" t="0" r="0" b="0"/>
            <wp:docPr id="150"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sidRPr="00E4382E">
        <w:rPr>
          <w:noProof/>
          <w:lang w:eastAsia="cs-CZ"/>
        </w:rPr>
        <w:t xml:space="preserve"> </w:t>
      </w:r>
      <w:r w:rsidRPr="009E20A5">
        <w:rPr>
          <w:noProof/>
          <w:lang w:eastAsia="cs-CZ"/>
        </w:rPr>
        <w:drawing>
          <wp:inline distT="0" distB="0" distL="0" distR="0">
            <wp:extent cx="2743200" cy="2286000"/>
            <wp:effectExtent l="0" t="0" r="0" b="0"/>
            <wp:docPr id="153"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6D6D96" w:rsidRDefault="006D6D96" w:rsidP="006D6D96">
      <w:pPr>
        <w:pStyle w:val="Nadpis5"/>
      </w:pPr>
      <w:r>
        <w:t>Graf: Vývoj počtu obyvatel a narozených v Kutné Hoře</w:t>
      </w:r>
    </w:p>
    <w:p w:rsidR="006D6D96" w:rsidRDefault="006D6D96" w:rsidP="006D6D96">
      <w:pPr>
        <w:pStyle w:val="Bezmezer"/>
      </w:pPr>
      <w:r w:rsidRPr="00035F98">
        <w:rPr>
          <w:noProof/>
          <w:lang w:eastAsia="cs-CZ"/>
        </w:rPr>
        <w:drawing>
          <wp:inline distT="0" distB="0" distL="0" distR="0">
            <wp:extent cx="2883639" cy="2392326"/>
            <wp:effectExtent l="19050" t="0" r="0" b="0"/>
            <wp:docPr id="154"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sidRPr="00E4382E">
        <w:rPr>
          <w:noProof/>
          <w:lang w:eastAsia="cs-CZ"/>
        </w:rPr>
        <w:t xml:space="preserve"> </w:t>
      </w:r>
      <w:r w:rsidRPr="00035F98">
        <w:rPr>
          <w:noProof/>
          <w:lang w:eastAsia="cs-CZ"/>
        </w:rPr>
        <w:drawing>
          <wp:inline distT="0" distB="0" distL="0" distR="0">
            <wp:extent cx="2817628" cy="2392325"/>
            <wp:effectExtent l="0" t="0" r="0" b="0"/>
            <wp:docPr id="157"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6D6D96" w:rsidRDefault="006D6D96" w:rsidP="006D6D96">
      <w:pPr>
        <w:pStyle w:val="Nadpis5"/>
      </w:pPr>
      <w:r>
        <w:lastRenderedPageBreak/>
        <w:t>Graf: Vývoj počtu obyvatel a narozených v Pertolticích</w:t>
      </w:r>
    </w:p>
    <w:p w:rsidR="006D6D96" w:rsidRDefault="006D6D96" w:rsidP="006D6D96">
      <w:pPr>
        <w:pStyle w:val="Bezmezer"/>
      </w:pPr>
      <w:r w:rsidRPr="00D13399">
        <w:rPr>
          <w:noProof/>
          <w:lang w:eastAsia="cs-CZ"/>
        </w:rPr>
        <w:drawing>
          <wp:inline distT="0" distB="0" distL="0" distR="0">
            <wp:extent cx="2902689" cy="2317898"/>
            <wp:effectExtent l="0" t="0" r="0" b="0"/>
            <wp:docPr id="158"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sidRPr="00E4382E">
        <w:rPr>
          <w:noProof/>
          <w:lang w:eastAsia="cs-CZ"/>
        </w:rPr>
        <w:t xml:space="preserve"> </w:t>
      </w:r>
      <w:r w:rsidRPr="00D13399">
        <w:rPr>
          <w:noProof/>
          <w:lang w:eastAsia="cs-CZ"/>
        </w:rPr>
        <w:drawing>
          <wp:inline distT="0" distB="0" distL="0" distR="0">
            <wp:extent cx="2817628" cy="2317897"/>
            <wp:effectExtent l="0" t="0" r="0" b="0"/>
            <wp:docPr id="161"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6D6D96" w:rsidRDefault="006D6D96" w:rsidP="006D6D96">
      <w:pPr>
        <w:pStyle w:val="Nadpis5"/>
      </w:pPr>
      <w:r>
        <w:t>Graf: Vývoj počtu obyvatel a narozených v </w:t>
      </w:r>
      <w:proofErr w:type="spellStart"/>
      <w:r>
        <w:t>Petrovicích</w:t>
      </w:r>
      <w:proofErr w:type="spellEnd"/>
      <w:r>
        <w:t xml:space="preserve"> I</w:t>
      </w:r>
    </w:p>
    <w:p w:rsidR="006D6D96" w:rsidRDefault="006D6D96" w:rsidP="006D6D96">
      <w:pPr>
        <w:pStyle w:val="Bezmezer"/>
      </w:pPr>
      <w:r w:rsidRPr="00D32B4F">
        <w:rPr>
          <w:noProof/>
          <w:lang w:eastAsia="cs-CZ"/>
        </w:rPr>
        <w:drawing>
          <wp:inline distT="0" distB="0" distL="0" distR="0">
            <wp:extent cx="2902689" cy="2317898"/>
            <wp:effectExtent l="0" t="0" r="0" b="0"/>
            <wp:docPr id="162" name="Graf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Pr="00E4382E">
        <w:rPr>
          <w:noProof/>
          <w:lang w:eastAsia="cs-CZ"/>
        </w:rPr>
        <w:t xml:space="preserve"> </w:t>
      </w:r>
      <w:r w:rsidRPr="00D32B4F">
        <w:rPr>
          <w:noProof/>
          <w:lang w:eastAsia="cs-CZ"/>
        </w:rPr>
        <w:drawing>
          <wp:inline distT="0" distB="0" distL="0" distR="0">
            <wp:extent cx="2806996" cy="2317898"/>
            <wp:effectExtent l="0" t="0" r="0" b="0"/>
            <wp:docPr id="165" name="Graf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6D6D96" w:rsidRDefault="006D6D96" w:rsidP="006D6D96">
      <w:pPr>
        <w:pStyle w:val="Nadpis5"/>
      </w:pPr>
      <w:r>
        <w:t>Graf: Vývoj počtu obyvatel a narozených v Ratajích nad Sázavou</w:t>
      </w:r>
    </w:p>
    <w:p w:rsidR="006D6D96" w:rsidRDefault="006D6D96" w:rsidP="006D6D96">
      <w:pPr>
        <w:pStyle w:val="Bezmezer"/>
      </w:pPr>
      <w:r w:rsidRPr="00B43DE0">
        <w:rPr>
          <w:noProof/>
          <w:lang w:eastAsia="cs-CZ"/>
        </w:rPr>
        <w:drawing>
          <wp:inline distT="0" distB="0" distL="0" distR="0">
            <wp:extent cx="2902689" cy="2254102"/>
            <wp:effectExtent l="0" t="0" r="0" b="0"/>
            <wp:docPr id="166"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r w:rsidRPr="00E4382E">
        <w:rPr>
          <w:noProof/>
          <w:lang w:eastAsia="cs-CZ"/>
        </w:rPr>
        <w:t xml:space="preserve"> </w:t>
      </w:r>
      <w:r w:rsidRPr="00B43DE0">
        <w:rPr>
          <w:noProof/>
          <w:lang w:eastAsia="cs-CZ"/>
        </w:rPr>
        <w:drawing>
          <wp:inline distT="0" distB="0" distL="0" distR="0">
            <wp:extent cx="2775098" cy="2254102"/>
            <wp:effectExtent l="0" t="0" r="0" b="0"/>
            <wp:docPr id="169" name="Graf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6D6D96" w:rsidRDefault="006D6D96" w:rsidP="006D6D96">
      <w:pPr>
        <w:pStyle w:val="Nadpis5"/>
      </w:pPr>
      <w:r>
        <w:lastRenderedPageBreak/>
        <w:t>Graf: Vývoj počtu obyvatel a narozených v </w:t>
      </w:r>
      <w:proofErr w:type="spellStart"/>
      <w:r>
        <w:t>Soběšíně</w:t>
      </w:r>
      <w:proofErr w:type="spellEnd"/>
    </w:p>
    <w:p w:rsidR="006D6D96" w:rsidRDefault="006D6D96" w:rsidP="006D6D96">
      <w:pPr>
        <w:pStyle w:val="Bezmezer"/>
      </w:pPr>
      <w:r w:rsidRPr="00852711">
        <w:rPr>
          <w:noProof/>
          <w:lang w:eastAsia="cs-CZ"/>
        </w:rPr>
        <w:drawing>
          <wp:inline distT="0" distB="0" distL="0" distR="0">
            <wp:extent cx="2902689" cy="2254103"/>
            <wp:effectExtent l="0" t="0" r="0" b="0"/>
            <wp:docPr id="170" name="Graf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r w:rsidRPr="00E4382E">
        <w:rPr>
          <w:noProof/>
          <w:lang w:eastAsia="cs-CZ"/>
        </w:rPr>
        <w:t xml:space="preserve"> </w:t>
      </w:r>
      <w:r w:rsidRPr="00852711">
        <w:rPr>
          <w:noProof/>
          <w:lang w:eastAsia="cs-CZ"/>
        </w:rPr>
        <w:drawing>
          <wp:inline distT="0" distB="0" distL="0" distR="0">
            <wp:extent cx="2764466" cy="2254102"/>
            <wp:effectExtent l="0" t="0" r="0" b="0"/>
            <wp:docPr id="173" name="Graf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6D6D96" w:rsidRDefault="006D6D96" w:rsidP="006D6D96">
      <w:pPr>
        <w:pStyle w:val="Nadpis5"/>
      </w:pPr>
      <w:r>
        <w:t>Graf: Vývoj počtu obyvatel a narozených v </w:t>
      </w:r>
      <w:proofErr w:type="spellStart"/>
      <w:r>
        <w:t>Třebětíně</w:t>
      </w:r>
      <w:proofErr w:type="spellEnd"/>
    </w:p>
    <w:p w:rsidR="006D6D96" w:rsidRDefault="006D6D96" w:rsidP="006D6D96">
      <w:pPr>
        <w:pStyle w:val="Bezmezer"/>
      </w:pPr>
      <w:r w:rsidRPr="000931DA">
        <w:rPr>
          <w:noProof/>
          <w:lang w:eastAsia="cs-CZ"/>
        </w:rPr>
        <w:drawing>
          <wp:inline distT="0" distB="0" distL="0" distR="0">
            <wp:extent cx="2934586" cy="2222205"/>
            <wp:effectExtent l="0" t="0" r="0" b="0"/>
            <wp:docPr id="174" name="Graf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sidRPr="00E4382E">
        <w:rPr>
          <w:noProof/>
          <w:lang w:eastAsia="cs-CZ"/>
        </w:rPr>
        <w:t xml:space="preserve"> </w:t>
      </w:r>
      <w:r w:rsidRPr="000931DA">
        <w:rPr>
          <w:noProof/>
          <w:lang w:eastAsia="cs-CZ"/>
        </w:rPr>
        <w:drawing>
          <wp:inline distT="0" distB="0" distL="0" distR="0">
            <wp:extent cx="2753833" cy="2222205"/>
            <wp:effectExtent l="0" t="0" r="0" b="0"/>
            <wp:docPr id="177" name="Graf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6D6D96" w:rsidRDefault="006D6D96" w:rsidP="006D6D96">
      <w:pPr>
        <w:pStyle w:val="Nadpis5"/>
      </w:pPr>
      <w:r>
        <w:t>Graf: Vývoj počtu obyvatel a narozených v Uhlířských Janovicích</w:t>
      </w:r>
    </w:p>
    <w:p w:rsidR="006D6D96" w:rsidRDefault="006D6D96" w:rsidP="006D6D96">
      <w:pPr>
        <w:pStyle w:val="Bezmezer"/>
      </w:pPr>
      <w:r w:rsidRPr="00164AE4">
        <w:rPr>
          <w:noProof/>
          <w:lang w:eastAsia="cs-CZ"/>
        </w:rPr>
        <w:drawing>
          <wp:inline distT="0" distB="0" distL="0" distR="0">
            <wp:extent cx="2902689" cy="2222205"/>
            <wp:effectExtent l="0" t="0" r="0" b="0"/>
            <wp:docPr id="178" name="Graf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r w:rsidRPr="00E4382E">
        <w:rPr>
          <w:noProof/>
          <w:lang w:eastAsia="cs-CZ"/>
        </w:rPr>
        <w:t xml:space="preserve"> </w:t>
      </w:r>
      <w:r w:rsidRPr="00067D21">
        <w:rPr>
          <w:noProof/>
          <w:lang w:eastAsia="cs-CZ"/>
        </w:rPr>
        <w:drawing>
          <wp:inline distT="0" distB="0" distL="0" distR="0">
            <wp:extent cx="2775098" cy="2105246"/>
            <wp:effectExtent l="0" t="0" r="0" b="0"/>
            <wp:docPr id="181" name="Graf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6D6D96" w:rsidRDefault="006D6D96" w:rsidP="006D6D96">
      <w:pPr>
        <w:pStyle w:val="Nadpis5"/>
      </w:pPr>
      <w:r>
        <w:lastRenderedPageBreak/>
        <w:t xml:space="preserve">Graf: Vývoj počtu obyvatel a narozených ve </w:t>
      </w:r>
      <w:proofErr w:type="spellStart"/>
      <w:r>
        <w:t>Vlastějovicích</w:t>
      </w:r>
      <w:proofErr w:type="spellEnd"/>
    </w:p>
    <w:p w:rsidR="006D6D96" w:rsidRDefault="006D6D96" w:rsidP="006D6D96">
      <w:pPr>
        <w:pStyle w:val="Bezmezer"/>
      </w:pPr>
      <w:r w:rsidRPr="000B1960">
        <w:rPr>
          <w:noProof/>
          <w:lang w:eastAsia="cs-CZ"/>
        </w:rPr>
        <w:drawing>
          <wp:inline distT="0" distB="0" distL="0" distR="0">
            <wp:extent cx="2934586" cy="2062716"/>
            <wp:effectExtent l="0" t="0" r="0" b="0"/>
            <wp:docPr id="182" name="Graf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sidRPr="00E4382E">
        <w:rPr>
          <w:noProof/>
          <w:lang w:eastAsia="cs-CZ"/>
        </w:rPr>
        <w:t xml:space="preserve"> </w:t>
      </w:r>
      <w:r w:rsidRPr="000B1960">
        <w:rPr>
          <w:noProof/>
          <w:lang w:eastAsia="cs-CZ"/>
        </w:rPr>
        <w:drawing>
          <wp:inline distT="0" distB="0" distL="0" distR="0">
            <wp:extent cx="2700670" cy="2062716"/>
            <wp:effectExtent l="0" t="0" r="0" b="0"/>
            <wp:docPr id="185" name="Graf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6D6D96" w:rsidRDefault="006D6D96" w:rsidP="006D6D96">
      <w:pPr>
        <w:pStyle w:val="Nadpis5"/>
      </w:pPr>
      <w:r>
        <w:t>Graf: Vývoj počtu obyvatel a narozených ve Zruči nad Sázavou</w:t>
      </w:r>
    </w:p>
    <w:p w:rsidR="006D6D96" w:rsidRDefault="006D6D96" w:rsidP="006D6D96">
      <w:pPr>
        <w:pStyle w:val="Bezmezer"/>
      </w:pPr>
      <w:r w:rsidRPr="00E3665E">
        <w:rPr>
          <w:noProof/>
          <w:lang w:eastAsia="cs-CZ"/>
        </w:rPr>
        <w:drawing>
          <wp:inline distT="0" distB="0" distL="0" distR="0">
            <wp:extent cx="2966484" cy="2062716"/>
            <wp:effectExtent l="0" t="0" r="0" b="0"/>
            <wp:docPr id="186" name="Graf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sidRPr="00E4382E">
        <w:rPr>
          <w:noProof/>
          <w:lang w:eastAsia="cs-CZ"/>
        </w:rPr>
        <w:t xml:space="preserve"> </w:t>
      </w:r>
      <w:r w:rsidRPr="00E3665E">
        <w:rPr>
          <w:noProof/>
          <w:lang w:eastAsia="cs-CZ"/>
        </w:rPr>
        <w:drawing>
          <wp:inline distT="0" distB="0" distL="0" distR="0">
            <wp:extent cx="2753833" cy="2126511"/>
            <wp:effectExtent l="0" t="0" r="0" b="0"/>
            <wp:docPr id="189" name="Graf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6D6D96" w:rsidRPr="00E6133C" w:rsidRDefault="006D6D96" w:rsidP="006D6D96">
      <w:pPr>
        <w:pStyle w:val="Nadpis3"/>
      </w:pPr>
      <w:bookmarkStart w:id="39" w:name="_Toc465592586"/>
      <w:r>
        <w:t>shrnutí</w:t>
      </w:r>
      <w:bookmarkEnd w:id="39"/>
    </w:p>
    <w:p w:rsidR="006D6D96" w:rsidRDefault="006D6D96" w:rsidP="006D6D96">
      <w:pPr>
        <w:pStyle w:val="Bezmezer"/>
      </w:pPr>
      <w:r>
        <w:t xml:space="preserve">Demografický vývoj v posledních </w:t>
      </w:r>
      <w:r>
        <w:rPr>
          <w:rFonts w:hint="eastAsia"/>
        </w:rPr>
        <w:t>pětadvacetiletých</w:t>
      </w:r>
      <w:r>
        <w:t xml:space="preserve"> ve většině obcí SO ORP dosahuje spíše pozitivních/progresivních trendů, které jsou však částečně „kaleny“ faktem, že do progrese nespadá ani jedno ze tří největších měst. Jejich role v hierarchii institucionální struktury tím však v žádném případě není zpochybněná, bude však asi častěji docházet k dojíždění dětí z okolních obcí a tím růstu nároků na logistické řešení dojížďky do škol. </w:t>
      </w:r>
    </w:p>
    <w:p w:rsidR="006D6D96" w:rsidRDefault="006D6D96" w:rsidP="006D6D96">
      <w:pPr>
        <w:pStyle w:val="Bezmezer"/>
      </w:pPr>
      <w:r>
        <w:t xml:space="preserve">Druhá varianta je potom rekonstrukce/obnova stávajících budov škol, které se nacházejí ve velké části obcí. Tento krok si však bude moci dovolit pouze zlomek </w:t>
      </w:r>
      <w:r>
        <w:rPr>
          <w:rFonts w:hint="eastAsia"/>
        </w:rPr>
        <w:t>nejprogresivnějších</w:t>
      </w:r>
      <w:r>
        <w:t xml:space="preserve"> obcí a hlavní cesta povede spíše skrze rozšiřování a zkvalitňování stávajících škol ve všech směrech, nárůst jejich vzájemné spolupráce a zároveň spolupráce mezi obcemi i dalšími institucemi, uskupeními i jednotlivci, kteří do procesu vzdělávání více či méně zasahují. </w:t>
      </w:r>
    </w:p>
    <w:p w:rsidR="006D6D96" w:rsidRDefault="006D6D96" w:rsidP="006D6D96">
      <w:pPr>
        <w:pStyle w:val="Nadpis5"/>
      </w:pPr>
      <w:r>
        <w:lastRenderedPageBreak/>
        <w:t xml:space="preserve">Obrázek: </w:t>
      </w:r>
      <w:r w:rsidR="00F16C95">
        <w:t>K</w:t>
      </w:r>
      <w:r>
        <w:t>ategorie obce dle demografického vývoje</w:t>
      </w:r>
    </w:p>
    <w:p w:rsidR="006D6D96" w:rsidRDefault="006D6D96" w:rsidP="006D6D96">
      <w:pPr>
        <w:pStyle w:val="Bezmezer"/>
      </w:pPr>
      <w:r>
        <w:rPr>
          <w:noProof/>
          <w:lang w:eastAsia="cs-CZ"/>
        </w:rPr>
        <w:drawing>
          <wp:inline distT="0" distB="0" distL="0" distR="0">
            <wp:extent cx="5759450" cy="5589270"/>
            <wp:effectExtent l="19050" t="0" r="0" b="0"/>
            <wp:docPr id="190" name="Obrázek 220" descr="tři ty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ři typy.gif"/>
                    <pic:cNvPicPr/>
                  </pic:nvPicPr>
                  <pic:blipFill>
                    <a:blip r:embed="rId113" cstate="print"/>
                    <a:stretch>
                      <a:fillRect/>
                    </a:stretch>
                  </pic:blipFill>
                  <pic:spPr>
                    <a:xfrm>
                      <a:off x="0" y="0"/>
                      <a:ext cx="5759450" cy="5589270"/>
                    </a:xfrm>
                    <a:prstGeom prst="rect">
                      <a:avLst/>
                    </a:prstGeom>
                  </pic:spPr>
                </pic:pic>
              </a:graphicData>
            </a:graphic>
          </wp:inline>
        </w:drawing>
      </w:r>
    </w:p>
    <w:p w:rsidR="00B03AEF" w:rsidRDefault="00B03AEF" w:rsidP="00B03AEF">
      <w:pPr>
        <w:pStyle w:val="Nadpis2"/>
      </w:pPr>
      <w:bookmarkStart w:id="40" w:name="_Toc465592587"/>
      <w:r>
        <w:t>Dohoda o prioritách</w:t>
      </w:r>
      <w:bookmarkEnd w:id="40"/>
      <w:r>
        <w:t xml:space="preserve"> </w:t>
      </w:r>
    </w:p>
    <w:p w:rsidR="00B03AEF" w:rsidRPr="00B03AEF" w:rsidRDefault="00B03AEF" w:rsidP="00B03AEF">
      <w:pPr>
        <w:pStyle w:val="Bezmezer"/>
      </w:pPr>
      <w:r w:rsidRPr="00B03AEF">
        <w:t>Na základě celkového vyhodnocení dotazníkového šetření, z něho plynoucích primárních potřeb a plánů</w:t>
      </w:r>
      <w:r w:rsidR="00521E68">
        <w:t xml:space="preserve"> </w:t>
      </w:r>
      <w:r w:rsidR="00996B7D" w:rsidRPr="00996B7D">
        <w:t>i studia relevantních dokument</w:t>
      </w:r>
      <w:r w:rsidR="00996B7D" w:rsidRPr="00996B7D">
        <w:rPr>
          <w:rFonts w:hint="eastAsia"/>
        </w:rPr>
        <w:t>ů</w:t>
      </w:r>
      <w:r w:rsidR="00996B7D" w:rsidRPr="00996B7D">
        <w:t xml:space="preserve"> </w:t>
      </w:r>
      <w:r w:rsidR="00521E68">
        <w:t xml:space="preserve">byly zpracovány </w:t>
      </w:r>
      <w:r w:rsidR="00996B7D">
        <w:t>problémové oblasti a jejich dílčí klíčové problémy (viz kapitola 4. 4. 1). Tyto problémové oblasti byly podrobeny</w:t>
      </w:r>
      <w:r w:rsidRPr="00B03AEF">
        <w:t xml:space="preserve"> </w:t>
      </w:r>
      <w:r w:rsidR="00521E68">
        <w:t>SWOT-3 analýz</w:t>
      </w:r>
      <w:r w:rsidR="00996B7D">
        <w:t xml:space="preserve">e a konfrontovány se </w:t>
      </w:r>
      <w:r w:rsidRPr="00B03AEF">
        <w:t>zpracovan</w:t>
      </w:r>
      <w:r w:rsidR="00996B7D">
        <w:t>ou demografickou analýzou</w:t>
      </w:r>
      <w:r w:rsidRPr="00B03AEF">
        <w:t>.</w:t>
      </w:r>
      <w:r w:rsidR="00996B7D">
        <w:t xml:space="preserve"> Výsledkem je definitivní podoba</w:t>
      </w:r>
      <w:r w:rsidRPr="00B03AEF">
        <w:t xml:space="preserve"> stěžejní</w:t>
      </w:r>
      <w:r w:rsidR="00996B7D">
        <w:t>ch témat</w:t>
      </w:r>
      <w:r w:rsidRPr="00B03AEF">
        <w:t xml:space="preserve"> v rámci předškolního a základního vzdělávání, která bude nutné v nadcházejících letech řešit</w:t>
      </w:r>
      <w:r w:rsidR="00996B7D">
        <w:t>. Na této podobě se dohodnul řídící výbor MAP SO ORP Kutná Hora.</w:t>
      </w:r>
    </w:p>
    <w:p w:rsidR="00B03AEF" w:rsidRDefault="00B03AEF" w:rsidP="00B03AEF">
      <w:pPr>
        <w:spacing w:before="120" w:after="120" w:line="276" w:lineRule="auto"/>
        <w:jc w:val="both"/>
        <w:rPr>
          <w:caps w:val="0"/>
          <w:sz w:val="22"/>
        </w:rPr>
      </w:pPr>
      <w:r w:rsidRPr="00B03AEF">
        <w:rPr>
          <w:caps w:val="0"/>
          <w:sz w:val="22"/>
        </w:rPr>
        <w:t xml:space="preserve">Problémové oblasti a jejich klíčové problémy by se měly následně promítnout do definitivní podoby opatření, na nichž bude založen tzv. </w:t>
      </w:r>
      <w:r w:rsidRPr="00B03AEF">
        <w:rPr>
          <w:caps w:val="0"/>
          <w:sz w:val="22"/>
          <w:u w:val="single"/>
        </w:rPr>
        <w:t>Strategický rámec</w:t>
      </w:r>
      <w:r w:rsidRPr="00B03AEF">
        <w:rPr>
          <w:caps w:val="0"/>
          <w:sz w:val="22"/>
        </w:rPr>
        <w:t xml:space="preserve"> představující očekávaný výstup celého místního akčního plánu. Jedná se o </w:t>
      </w:r>
      <w:r w:rsidRPr="00B03AEF">
        <w:rPr>
          <w:b/>
          <w:caps w:val="0"/>
          <w:sz w:val="22"/>
        </w:rPr>
        <w:t>dohodu o prioritách</w:t>
      </w:r>
      <w:r w:rsidRPr="00B03AEF">
        <w:rPr>
          <w:caps w:val="0"/>
          <w:sz w:val="22"/>
        </w:rPr>
        <w:t xml:space="preserve"> vzdělávací politiky v území (tedy v SO ORP Kutná Hora), která se promítne v konkrétních dotačních titulech.</w:t>
      </w:r>
    </w:p>
    <w:p w:rsidR="00996B7D" w:rsidRDefault="00996B7D" w:rsidP="00B03AEF">
      <w:pPr>
        <w:spacing w:before="120" w:after="120" w:line="276" w:lineRule="auto"/>
        <w:jc w:val="both"/>
        <w:rPr>
          <w:caps w:val="0"/>
          <w:sz w:val="22"/>
        </w:rPr>
      </w:pPr>
    </w:p>
    <w:p w:rsidR="00B03AEF" w:rsidRPr="00B03AEF" w:rsidRDefault="00B03AEF" w:rsidP="00B03AEF">
      <w:pPr>
        <w:spacing w:before="120" w:after="120" w:line="276" w:lineRule="auto"/>
        <w:jc w:val="both"/>
        <w:rPr>
          <w:caps w:val="0"/>
          <w:sz w:val="22"/>
          <w:u w:val="single"/>
        </w:rPr>
      </w:pPr>
      <w:r w:rsidRPr="00B03AEF">
        <w:rPr>
          <w:b/>
          <w:caps w:val="0"/>
          <w:sz w:val="22"/>
        </w:rPr>
        <w:lastRenderedPageBreak/>
        <w:t xml:space="preserve">Priorita 1: </w:t>
      </w:r>
      <w:r w:rsidRPr="00B03AEF">
        <w:rPr>
          <w:caps w:val="0"/>
          <w:sz w:val="22"/>
          <w:u w:val="single"/>
        </w:rPr>
        <w:t xml:space="preserve">kvalitní a dostupné vzdělání v předškolním a základním vzdělávání </w:t>
      </w:r>
    </w:p>
    <w:p w:rsidR="00B03AEF" w:rsidRPr="00B03AEF" w:rsidRDefault="00B03AEF" w:rsidP="00B03AEF">
      <w:pPr>
        <w:spacing w:before="120" w:after="120" w:line="276" w:lineRule="auto"/>
        <w:jc w:val="both"/>
        <w:rPr>
          <w:b/>
          <w:caps w:val="0"/>
          <w:sz w:val="22"/>
        </w:rPr>
      </w:pPr>
      <w:r w:rsidRPr="00B03AEF">
        <w:rPr>
          <w:b/>
          <w:caps w:val="0"/>
          <w:sz w:val="22"/>
        </w:rPr>
        <w:t xml:space="preserve">klíčové problémy: </w:t>
      </w:r>
    </w:p>
    <w:p w:rsidR="00B03AEF" w:rsidRPr="00B03AEF" w:rsidRDefault="00B03AEF" w:rsidP="00B03AEF">
      <w:pPr>
        <w:numPr>
          <w:ilvl w:val="0"/>
          <w:numId w:val="43"/>
        </w:numPr>
        <w:spacing w:before="120" w:after="120" w:line="276" w:lineRule="auto"/>
        <w:ind w:hanging="294"/>
        <w:jc w:val="both"/>
        <w:rPr>
          <w:caps w:val="0"/>
          <w:sz w:val="22"/>
        </w:rPr>
      </w:pPr>
      <w:r w:rsidRPr="00B03AEF">
        <w:rPr>
          <w:caps w:val="0"/>
          <w:sz w:val="22"/>
        </w:rPr>
        <w:t>orientace na kvalitní a inkluzivní vzdělávání, včetně bezbariérovosti</w:t>
      </w:r>
    </w:p>
    <w:p w:rsidR="00B03AEF" w:rsidRPr="00B03AEF" w:rsidRDefault="00B03AEF" w:rsidP="00B03AEF">
      <w:pPr>
        <w:numPr>
          <w:ilvl w:val="0"/>
          <w:numId w:val="43"/>
        </w:numPr>
        <w:spacing w:before="120" w:after="120" w:line="276" w:lineRule="auto"/>
        <w:ind w:hanging="294"/>
        <w:jc w:val="both"/>
        <w:rPr>
          <w:caps w:val="0"/>
          <w:sz w:val="22"/>
        </w:rPr>
      </w:pPr>
      <w:r w:rsidRPr="00B03AEF">
        <w:rPr>
          <w:caps w:val="0"/>
          <w:sz w:val="22"/>
        </w:rPr>
        <w:t>začleňování dlouhodobého plánování jako nástroje ke kvalitnímu řízení škol</w:t>
      </w:r>
    </w:p>
    <w:p w:rsidR="00B03AEF" w:rsidRPr="00B03AEF" w:rsidRDefault="00B03AEF" w:rsidP="00B03AEF">
      <w:pPr>
        <w:numPr>
          <w:ilvl w:val="0"/>
          <w:numId w:val="43"/>
        </w:numPr>
        <w:spacing w:before="120" w:after="120" w:line="276" w:lineRule="auto"/>
        <w:ind w:hanging="294"/>
        <w:jc w:val="both"/>
        <w:rPr>
          <w:caps w:val="0"/>
          <w:sz w:val="22"/>
        </w:rPr>
      </w:pPr>
      <w:r w:rsidRPr="00B03AEF">
        <w:rPr>
          <w:caps w:val="0"/>
          <w:sz w:val="22"/>
        </w:rPr>
        <w:t xml:space="preserve">snaha o </w:t>
      </w:r>
      <w:r w:rsidRPr="00B03AEF">
        <w:rPr>
          <w:rFonts w:hint="eastAsia"/>
          <w:caps w:val="0"/>
          <w:sz w:val="22"/>
        </w:rPr>
        <w:t xml:space="preserve">rozvoj potenciálu každého </w:t>
      </w:r>
      <w:r w:rsidRPr="00B03AEF">
        <w:rPr>
          <w:caps w:val="0"/>
          <w:sz w:val="22"/>
        </w:rPr>
        <w:t xml:space="preserve">dítěte a </w:t>
      </w:r>
      <w:r w:rsidRPr="00B03AEF">
        <w:rPr>
          <w:rFonts w:hint="eastAsia"/>
          <w:caps w:val="0"/>
          <w:sz w:val="22"/>
        </w:rPr>
        <w:t>žáka</w:t>
      </w:r>
    </w:p>
    <w:p w:rsidR="00B03AEF" w:rsidRPr="00B03AEF" w:rsidRDefault="00B03AEF" w:rsidP="00B03AEF">
      <w:pPr>
        <w:numPr>
          <w:ilvl w:val="0"/>
          <w:numId w:val="43"/>
        </w:numPr>
        <w:spacing w:before="120" w:after="120" w:line="276" w:lineRule="auto"/>
        <w:ind w:hanging="294"/>
        <w:jc w:val="both"/>
        <w:rPr>
          <w:caps w:val="0"/>
          <w:sz w:val="22"/>
        </w:rPr>
      </w:pPr>
      <w:r w:rsidRPr="00B03AEF">
        <w:rPr>
          <w:caps w:val="0"/>
          <w:sz w:val="22"/>
        </w:rPr>
        <w:t>prostor pro postupné zavádění dlouhodobých, koncepčních změn</w:t>
      </w:r>
    </w:p>
    <w:p w:rsidR="00B03AEF" w:rsidRPr="00B03AEF" w:rsidRDefault="00B03AEF" w:rsidP="00B03AEF">
      <w:pPr>
        <w:numPr>
          <w:ilvl w:val="0"/>
          <w:numId w:val="43"/>
        </w:numPr>
        <w:spacing w:before="120" w:after="120" w:line="276" w:lineRule="auto"/>
        <w:ind w:hanging="294"/>
        <w:jc w:val="both"/>
        <w:rPr>
          <w:caps w:val="0"/>
          <w:sz w:val="22"/>
        </w:rPr>
      </w:pPr>
      <w:r w:rsidRPr="00B03AEF">
        <w:rPr>
          <w:caps w:val="0"/>
          <w:sz w:val="22"/>
        </w:rPr>
        <w:t>rozvoj související infrastruktury</w:t>
      </w:r>
    </w:p>
    <w:p w:rsidR="00B03AEF" w:rsidRPr="00B03AEF" w:rsidRDefault="00B03AEF" w:rsidP="00B03AEF">
      <w:pPr>
        <w:spacing w:before="120" w:after="120" w:line="276" w:lineRule="auto"/>
        <w:jc w:val="both"/>
        <w:rPr>
          <w:caps w:val="0"/>
          <w:sz w:val="22"/>
          <w:u w:val="single"/>
        </w:rPr>
      </w:pPr>
      <w:r w:rsidRPr="00B03AEF">
        <w:rPr>
          <w:b/>
          <w:caps w:val="0"/>
          <w:sz w:val="22"/>
        </w:rPr>
        <w:t xml:space="preserve">Priorita 2: </w:t>
      </w:r>
      <w:r w:rsidRPr="00B03AEF">
        <w:rPr>
          <w:caps w:val="0"/>
          <w:sz w:val="22"/>
          <w:u w:val="single"/>
        </w:rPr>
        <w:t>budování znalostních kapacit v předškolním a základním vzdělávání</w:t>
      </w:r>
    </w:p>
    <w:p w:rsidR="00B03AEF" w:rsidRPr="00B03AEF" w:rsidRDefault="00B03AEF" w:rsidP="00B03AEF">
      <w:pPr>
        <w:spacing w:before="120" w:after="120" w:line="276" w:lineRule="auto"/>
        <w:jc w:val="both"/>
        <w:rPr>
          <w:caps w:val="0"/>
          <w:sz w:val="22"/>
          <w:u w:val="single"/>
        </w:rPr>
      </w:pPr>
      <w:r w:rsidRPr="00B03AEF">
        <w:rPr>
          <w:b/>
          <w:caps w:val="0"/>
          <w:sz w:val="22"/>
        </w:rPr>
        <w:t>klíčové problémy:</w:t>
      </w:r>
    </w:p>
    <w:p w:rsidR="00B03AEF" w:rsidRPr="00B03AEF" w:rsidRDefault="00B03AEF" w:rsidP="00B03AEF">
      <w:pPr>
        <w:numPr>
          <w:ilvl w:val="0"/>
          <w:numId w:val="44"/>
        </w:numPr>
        <w:spacing w:before="120" w:after="120" w:line="276" w:lineRule="auto"/>
        <w:ind w:hanging="294"/>
        <w:jc w:val="both"/>
        <w:rPr>
          <w:caps w:val="0"/>
          <w:sz w:val="22"/>
        </w:rPr>
      </w:pPr>
      <w:r w:rsidRPr="00B03AEF">
        <w:rPr>
          <w:caps w:val="0"/>
          <w:sz w:val="22"/>
        </w:rPr>
        <w:t>adekvátní rozsah pedagogického sboru</w:t>
      </w:r>
    </w:p>
    <w:p w:rsidR="00B03AEF" w:rsidRPr="00B03AEF" w:rsidRDefault="00B03AEF" w:rsidP="00B03AEF">
      <w:pPr>
        <w:numPr>
          <w:ilvl w:val="0"/>
          <w:numId w:val="44"/>
        </w:numPr>
        <w:spacing w:before="120" w:after="120" w:line="276" w:lineRule="auto"/>
        <w:ind w:hanging="294"/>
        <w:jc w:val="both"/>
        <w:rPr>
          <w:caps w:val="0"/>
          <w:sz w:val="22"/>
        </w:rPr>
      </w:pPr>
      <w:r w:rsidRPr="00B03AEF">
        <w:rPr>
          <w:caps w:val="0"/>
          <w:sz w:val="22"/>
        </w:rPr>
        <w:t>adekvátní erudice pedagogického sboru</w:t>
      </w:r>
    </w:p>
    <w:p w:rsidR="00B03AEF" w:rsidRPr="00B03AEF" w:rsidRDefault="00B03AEF" w:rsidP="00B03AEF">
      <w:pPr>
        <w:numPr>
          <w:ilvl w:val="0"/>
          <w:numId w:val="44"/>
        </w:numPr>
        <w:spacing w:before="120" w:after="120" w:line="276" w:lineRule="auto"/>
        <w:ind w:hanging="294"/>
        <w:jc w:val="both"/>
        <w:rPr>
          <w:caps w:val="0"/>
          <w:sz w:val="22"/>
        </w:rPr>
      </w:pPr>
      <w:r w:rsidRPr="00B03AEF">
        <w:rPr>
          <w:caps w:val="0"/>
          <w:sz w:val="22"/>
        </w:rPr>
        <w:t>možnosti dalšího vzdělávání pro pedagogy včetně specializací</w:t>
      </w:r>
    </w:p>
    <w:p w:rsidR="00B03AEF" w:rsidRPr="00B03AEF" w:rsidRDefault="00B03AEF" w:rsidP="00B03AEF">
      <w:pPr>
        <w:numPr>
          <w:ilvl w:val="0"/>
          <w:numId w:val="44"/>
        </w:numPr>
        <w:spacing w:before="120" w:after="120" w:line="276" w:lineRule="auto"/>
        <w:ind w:hanging="294"/>
        <w:jc w:val="both"/>
        <w:rPr>
          <w:caps w:val="0"/>
          <w:sz w:val="22"/>
        </w:rPr>
      </w:pPr>
      <w:r w:rsidRPr="00B03AEF">
        <w:rPr>
          <w:caps w:val="0"/>
          <w:sz w:val="22"/>
        </w:rPr>
        <w:t>možnost náležitého ohodnocení pedagoga</w:t>
      </w:r>
    </w:p>
    <w:p w:rsidR="00B03AEF" w:rsidRPr="00B03AEF" w:rsidRDefault="00B03AEF" w:rsidP="00B03AEF">
      <w:pPr>
        <w:numPr>
          <w:ilvl w:val="0"/>
          <w:numId w:val="44"/>
        </w:numPr>
        <w:spacing w:before="120" w:after="120" w:line="276" w:lineRule="auto"/>
        <w:ind w:hanging="294"/>
        <w:jc w:val="both"/>
        <w:rPr>
          <w:caps w:val="0"/>
          <w:sz w:val="22"/>
        </w:rPr>
      </w:pPr>
      <w:r w:rsidRPr="00B03AEF">
        <w:rPr>
          <w:caps w:val="0"/>
          <w:sz w:val="22"/>
        </w:rPr>
        <w:t>odpovídající zázemí (materiálové i ideové) pro práci pedagoga</w:t>
      </w:r>
    </w:p>
    <w:p w:rsidR="00B03AEF" w:rsidRPr="00B03AEF" w:rsidRDefault="00B03AEF" w:rsidP="00B03AEF">
      <w:pPr>
        <w:numPr>
          <w:ilvl w:val="0"/>
          <w:numId w:val="44"/>
        </w:numPr>
        <w:spacing w:before="120" w:after="120" w:line="276" w:lineRule="auto"/>
        <w:ind w:hanging="294"/>
        <w:jc w:val="both"/>
        <w:rPr>
          <w:caps w:val="0"/>
          <w:sz w:val="22"/>
        </w:rPr>
      </w:pPr>
      <w:r w:rsidRPr="00B03AEF">
        <w:rPr>
          <w:caps w:val="0"/>
          <w:sz w:val="22"/>
        </w:rPr>
        <w:t xml:space="preserve">podpora odborníků a specialistů </w:t>
      </w:r>
    </w:p>
    <w:p w:rsidR="00B03AEF" w:rsidRPr="00B03AEF" w:rsidRDefault="00B03AEF" w:rsidP="00B03AEF">
      <w:pPr>
        <w:spacing w:before="120" w:after="120" w:line="276" w:lineRule="auto"/>
        <w:jc w:val="both"/>
        <w:rPr>
          <w:caps w:val="0"/>
          <w:sz w:val="22"/>
          <w:u w:val="single"/>
        </w:rPr>
      </w:pPr>
      <w:r w:rsidRPr="00B03AEF">
        <w:rPr>
          <w:b/>
          <w:caps w:val="0"/>
          <w:sz w:val="22"/>
        </w:rPr>
        <w:t xml:space="preserve">Priorita 3: </w:t>
      </w:r>
      <w:r w:rsidRPr="00B03AEF">
        <w:rPr>
          <w:caps w:val="0"/>
          <w:sz w:val="22"/>
          <w:u w:val="single"/>
        </w:rPr>
        <w:t>síťování a rozvoj partnerství</w:t>
      </w:r>
    </w:p>
    <w:p w:rsidR="00B03AEF" w:rsidRPr="00B03AEF" w:rsidRDefault="00B03AEF" w:rsidP="00B03AEF">
      <w:pPr>
        <w:spacing w:before="120" w:after="120" w:line="276" w:lineRule="auto"/>
        <w:jc w:val="both"/>
        <w:rPr>
          <w:caps w:val="0"/>
          <w:sz w:val="22"/>
          <w:u w:val="single"/>
        </w:rPr>
      </w:pPr>
      <w:r w:rsidRPr="00B03AEF">
        <w:rPr>
          <w:b/>
          <w:caps w:val="0"/>
          <w:sz w:val="22"/>
        </w:rPr>
        <w:t>klíčové problémy:</w:t>
      </w:r>
    </w:p>
    <w:p w:rsidR="00B03AEF" w:rsidRPr="00B03AEF" w:rsidRDefault="00B03AEF" w:rsidP="00B03AEF">
      <w:pPr>
        <w:numPr>
          <w:ilvl w:val="0"/>
          <w:numId w:val="45"/>
        </w:numPr>
        <w:spacing w:before="120" w:after="120" w:line="276" w:lineRule="auto"/>
        <w:ind w:hanging="294"/>
        <w:jc w:val="both"/>
        <w:rPr>
          <w:caps w:val="0"/>
          <w:sz w:val="22"/>
        </w:rPr>
      </w:pPr>
      <w:r w:rsidRPr="00B03AEF">
        <w:rPr>
          <w:rFonts w:hint="eastAsia"/>
          <w:caps w:val="0"/>
          <w:sz w:val="22"/>
        </w:rPr>
        <w:t xml:space="preserve">zlepšení spolupráce v území </w:t>
      </w:r>
      <w:r w:rsidRPr="00B03AEF">
        <w:rPr>
          <w:caps w:val="0"/>
          <w:sz w:val="22"/>
        </w:rPr>
        <w:t>mezi školami, se zřizovateli a dalšími relevantními aktéry vzdělávacího procesu (NNO, knihovny, ZUŠ, spolky atd.)</w:t>
      </w:r>
    </w:p>
    <w:p w:rsidR="00B03AEF" w:rsidRPr="00B03AEF" w:rsidRDefault="00B03AEF" w:rsidP="00B03AEF">
      <w:pPr>
        <w:numPr>
          <w:ilvl w:val="0"/>
          <w:numId w:val="45"/>
        </w:numPr>
        <w:spacing w:before="120" w:after="120" w:line="276" w:lineRule="auto"/>
        <w:ind w:hanging="294"/>
        <w:jc w:val="both"/>
        <w:rPr>
          <w:caps w:val="0"/>
          <w:sz w:val="22"/>
        </w:rPr>
      </w:pPr>
      <w:r w:rsidRPr="00B03AEF">
        <w:rPr>
          <w:rFonts w:hint="eastAsia"/>
          <w:caps w:val="0"/>
          <w:sz w:val="22"/>
        </w:rPr>
        <w:t>využívání místních mimoškolních</w:t>
      </w:r>
      <w:r w:rsidRPr="00B03AEF">
        <w:rPr>
          <w:caps w:val="0"/>
          <w:sz w:val="22"/>
        </w:rPr>
        <w:t>/soukromých</w:t>
      </w:r>
      <w:r w:rsidRPr="00B03AEF">
        <w:rPr>
          <w:rFonts w:hint="eastAsia"/>
          <w:caps w:val="0"/>
          <w:sz w:val="22"/>
        </w:rPr>
        <w:t xml:space="preserve"> zdrojů pro rozvoj vzdělávání</w:t>
      </w:r>
      <w:r w:rsidRPr="00B03AEF">
        <w:rPr>
          <w:caps w:val="0"/>
          <w:sz w:val="22"/>
        </w:rPr>
        <w:t xml:space="preserve"> </w:t>
      </w:r>
      <w:r w:rsidRPr="00B03AEF">
        <w:rPr>
          <w:rFonts w:hint="eastAsia"/>
          <w:caps w:val="0"/>
          <w:sz w:val="22"/>
        </w:rPr>
        <w:t xml:space="preserve">dětí a žáků </w:t>
      </w:r>
    </w:p>
    <w:p w:rsidR="00B03AEF" w:rsidRPr="00B03AEF" w:rsidRDefault="00B03AEF" w:rsidP="00B03AEF">
      <w:pPr>
        <w:numPr>
          <w:ilvl w:val="0"/>
          <w:numId w:val="45"/>
        </w:numPr>
        <w:spacing w:before="120" w:after="120" w:line="276" w:lineRule="auto"/>
        <w:ind w:hanging="294"/>
        <w:jc w:val="both"/>
        <w:rPr>
          <w:caps w:val="0"/>
          <w:sz w:val="22"/>
        </w:rPr>
      </w:pPr>
      <w:r w:rsidRPr="00B03AEF">
        <w:rPr>
          <w:caps w:val="0"/>
          <w:sz w:val="22"/>
        </w:rPr>
        <w:t xml:space="preserve">vzájemné </w:t>
      </w:r>
      <w:r w:rsidRPr="00B03AEF">
        <w:rPr>
          <w:rFonts w:hint="eastAsia"/>
          <w:caps w:val="0"/>
          <w:sz w:val="22"/>
        </w:rPr>
        <w:t xml:space="preserve">zlepšení spolupráce </w:t>
      </w:r>
      <w:r w:rsidRPr="00B03AEF">
        <w:rPr>
          <w:caps w:val="0"/>
          <w:sz w:val="22"/>
        </w:rPr>
        <w:t xml:space="preserve">a komunikace </w:t>
      </w:r>
      <w:r w:rsidRPr="00B03AEF">
        <w:rPr>
          <w:rFonts w:hint="eastAsia"/>
          <w:caps w:val="0"/>
          <w:sz w:val="22"/>
        </w:rPr>
        <w:t>s</w:t>
      </w:r>
      <w:r w:rsidRPr="00B03AEF">
        <w:rPr>
          <w:caps w:val="0"/>
          <w:sz w:val="22"/>
        </w:rPr>
        <w:t> </w:t>
      </w:r>
      <w:r w:rsidRPr="00B03AEF">
        <w:rPr>
          <w:rFonts w:hint="eastAsia"/>
          <w:caps w:val="0"/>
          <w:sz w:val="22"/>
        </w:rPr>
        <w:t>rodiči</w:t>
      </w:r>
    </w:p>
    <w:p w:rsidR="00B03AEF" w:rsidRPr="00B03AEF" w:rsidRDefault="00B03AEF" w:rsidP="00B03AEF">
      <w:pPr>
        <w:numPr>
          <w:ilvl w:val="0"/>
          <w:numId w:val="45"/>
        </w:numPr>
        <w:spacing w:before="120" w:after="120" w:line="276" w:lineRule="auto"/>
        <w:ind w:hanging="294"/>
        <w:jc w:val="both"/>
        <w:rPr>
          <w:caps w:val="0"/>
          <w:sz w:val="22"/>
        </w:rPr>
      </w:pPr>
      <w:r w:rsidRPr="00B03AEF">
        <w:rPr>
          <w:caps w:val="0"/>
          <w:sz w:val="22"/>
        </w:rPr>
        <w:t>zintenzivnění a zefektivnění komunikace s hierarchicky vyššími institucemi (kraj, stát)</w:t>
      </w:r>
    </w:p>
    <w:p w:rsidR="00B03AEF" w:rsidRDefault="00B03AEF" w:rsidP="00B03AEF">
      <w:pPr>
        <w:pStyle w:val="Bezmezer"/>
      </w:pPr>
      <w:r w:rsidRPr="00B03AEF">
        <w:t>pravidelné konzultace vize vzdělávání ve vztahu škola – zřizovatel – rodič</w:t>
      </w:r>
    </w:p>
    <w:p w:rsidR="007D4994" w:rsidRDefault="007D4994" w:rsidP="00955CEC">
      <w:pPr>
        <w:pStyle w:val="Bezmezer"/>
      </w:pPr>
    </w:p>
    <w:p w:rsidR="00FC7577" w:rsidRDefault="00FC7577" w:rsidP="00955CEC">
      <w:pPr>
        <w:pStyle w:val="Bezmezer"/>
      </w:pPr>
    </w:p>
    <w:p w:rsidR="00DA61D6" w:rsidRDefault="00DA61D6" w:rsidP="007B585E">
      <w:pPr>
        <w:pStyle w:val="Bezmezer"/>
        <w:rPr>
          <w:rFonts w:eastAsiaTheme="majorEastAsia" w:cstheme="majorBidi"/>
          <w:sz w:val="32"/>
          <w:szCs w:val="28"/>
        </w:rPr>
      </w:pPr>
      <w:r>
        <w:br w:type="page"/>
      </w:r>
    </w:p>
    <w:p w:rsidR="00D44CFB" w:rsidRPr="00883006" w:rsidRDefault="00D44CFB" w:rsidP="00D44CFB">
      <w:pPr>
        <w:pStyle w:val="Nadpis1"/>
      </w:pPr>
      <w:bookmarkStart w:id="41" w:name="_Toc465592588"/>
      <w:r w:rsidRPr="00883006">
        <w:lastRenderedPageBreak/>
        <w:t>Strategický rámec MAP</w:t>
      </w:r>
      <w:r w:rsidR="004C3911">
        <w:t xml:space="preserve"> pro SO ORP Kutná Hora</w:t>
      </w:r>
      <w:bookmarkEnd w:id="41"/>
    </w:p>
    <w:p w:rsidR="00D44CFB" w:rsidRDefault="004C3911" w:rsidP="00D44CFB">
      <w:pPr>
        <w:pStyle w:val="Bezmezer"/>
      </w:pPr>
      <w:r w:rsidRPr="004C3911">
        <w:t>Bude dopln</w:t>
      </w:r>
      <w:r w:rsidRPr="004C3911">
        <w:rPr>
          <w:rFonts w:hint="eastAsia"/>
        </w:rPr>
        <w:t>ě</w:t>
      </w:r>
      <w:r w:rsidRPr="004C3911">
        <w:t>no v dalším pr</w:t>
      </w:r>
      <w:r w:rsidRPr="004C3911">
        <w:rPr>
          <w:rFonts w:hint="eastAsia"/>
        </w:rPr>
        <w:t>ů</w:t>
      </w:r>
      <w:r w:rsidRPr="004C3911">
        <w:t>b</w:t>
      </w:r>
      <w:r w:rsidRPr="004C3911">
        <w:rPr>
          <w:rFonts w:hint="eastAsia"/>
        </w:rPr>
        <w:t>ě</w:t>
      </w:r>
      <w:r w:rsidRPr="004C3911">
        <w:t>hu zpracování</w:t>
      </w:r>
      <w:r w:rsidR="00883006" w:rsidRPr="00883006">
        <w:t>.</w:t>
      </w:r>
    </w:p>
    <w:p w:rsidR="00D44CFB" w:rsidRDefault="00D44CFB">
      <w:pPr>
        <w:spacing w:before="0" w:after="200" w:line="276" w:lineRule="auto"/>
        <w:jc w:val="left"/>
        <w:rPr>
          <w:caps w:val="0"/>
          <w:sz w:val="22"/>
        </w:rPr>
      </w:pPr>
      <w:r>
        <w:br w:type="page"/>
      </w:r>
    </w:p>
    <w:p w:rsidR="00D44CFB" w:rsidRPr="00883006" w:rsidRDefault="00D44CFB" w:rsidP="00D44CFB">
      <w:pPr>
        <w:pStyle w:val="Nadpis1"/>
      </w:pPr>
      <w:bookmarkStart w:id="42" w:name="_Toc465592589"/>
      <w:r w:rsidRPr="00883006">
        <w:lastRenderedPageBreak/>
        <w:t>Opatření</w:t>
      </w:r>
      <w:bookmarkEnd w:id="42"/>
    </w:p>
    <w:p w:rsidR="00883006" w:rsidRDefault="00883006" w:rsidP="00883006">
      <w:pPr>
        <w:pStyle w:val="Bezmezer"/>
      </w:pPr>
      <w:r w:rsidRPr="00883006">
        <w:t>Bude doplněno v dalším průběhu zpracování.</w:t>
      </w:r>
    </w:p>
    <w:p w:rsidR="00D44CFB" w:rsidRDefault="00D44CFB" w:rsidP="00D44CFB">
      <w:pPr>
        <w:pStyle w:val="Bezmezer"/>
        <w:rPr>
          <w:caps/>
        </w:rPr>
      </w:pPr>
      <w:r>
        <w:br w:type="page"/>
      </w:r>
    </w:p>
    <w:p w:rsidR="00D44CFB" w:rsidRDefault="00D44CFB" w:rsidP="00D44CFB">
      <w:pPr>
        <w:pStyle w:val="Nadpis1"/>
      </w:pPr>
      <w:bookmarkStart w:id="43" w:name="_Toc465592590"/>
      <w:r>
        <w:lastRenderedPageBreak/>
        <w:t>Použité zkratky</w:t>
      </w:r>
      <w:bookmarkEnd w:id="43"/>
    </w:p>
    <w:p w:rsidR="000B7FD6" w:rsidRDefault="000B7FD6" w:rsidP="00955CEC">
      <w:pPr>
        <w:pStyle w:val="Bezmezer"/>
      </w:pPr>
      <w:r>
        <w:t xml:space="preserve">BYOD - </w:t>
      </w:r>
      <w:r w:rsidRPr="000B7FD6">
        <w:t>z anglického "</w:t>
      </w:r>
      <w:proofErr w:type="spellStart"/>
      <w:r w:rsidRPr="000B7FD6">
        <w:t>Bring</w:t>
      </w:r>
      <w:proofErr w:type="spellEnd"/>
      <w:r w:rsidRPr="000B7FD6">
        <w:t xml:space="preserve"> </w:t>
      </w:r>
      <w:proofErr w:type="spellStart"/>
      <w:r w:rsidRPr="000B7FD6">
        <w:t>Your</w:t>
      </w:r>
      <w:proofErr w:type="spellEnd"/>
      <w:r w:rsidRPr="000B7FD6">
        <w:t xml:space="preserve"> </w:t>
      </w:r>
      <w:proofErr w:type="spellStart"/>
      <w:r w:rsidRPr="000B7FD6">
        <w:t>Own</w:t>
      </w:r>
      <w:proofErr w:type="spellEnd"/>
      <w:r w:rsidRPr="000B7FD6">
        <w:t xml:space="preserve"> Device"</w:t>
      </w:r>
      <w:r>
        <w:t xml:space="preserve">, tedy „přines si své vlastní zařízení“ </w:t>
      </w:r>
    </w:p>
    <w:p w:rsidR="004F2CEA" w:rsidRDefault="004F2CEA" w:rsidP="00955CEC">
      <w:pPr>
        <w:pStyle w:val="Bezmezer"/>
      </w:pPr>
      <w:r>
        <w:t>ČR – Česká republika</w:t>
      </w:r>
    </w:p>
    <w:p w:rsidR="00532418" w:rsidRDefault="00532418" w:rsidP="00532418">
      <w:pPr>
        <w:pStyle w:val="Bezmezer"/>
      </w:pPr>
      <w:r>
        <w:t>EU – Evropská unie</w:t>
      </w:r>
    </w:p>
    <w:p w:rsidR="00931F72" w:rsidRDefault="00931F72" w:rsidP="00532418">
      <w:pPr>
        <w:pStyle w:val="Bezmezer"/>
      </w:pPr>
      <w:r>
        <w:t>ICT – z anglického „</w:t>
      </w:r>
      <w:proofErr w:type="spellStart"/>
      <w:r w:rsidRPr="00931F72">
        <w:t>Information</w:t>
      </w:r>
      <w:proofErr w:type="spellEnd"/>
      <w:r w:rsidRPr="00931F72">
        <w:t xml:space="preserve"> </w:t>
      </w:r>
      <w:proofErr w:type="spellStart"/>
      <w:r w:rsidRPr="00931F72">
        <w:t>and</w:t>
      </w:r>
      <w:proofErr w:type="spellEnd"/>
      <w:r w:rsidRPr="00931F72">
        <w:t xml:space="preserve"> </w:t>
      </w:r>
      <w:proofErr w:type="spellStart"/>
      <w:r w:rsidRPr="00931F72">
        <w:t>Communication</w:t>
      </w:r>
      <w:proofErr w:type="spellEnd"/>
      <w:r w:rsidRPr="00931F72">
        <w:t xml:space="preserve"> Technology</w:t>
      </w:r>
      <w:r>
        <w:t>“, tedy „</w:t>
      </w:r>
      <w:r w:rsidRPr="00931F72">
        <w:t>informa</w:t>
      </w:r>
      <w:r w:rsidRPr="00931F72">
        <w:rPr>
          <w:rFonts w:hint="eastAsia"/>
        </w:rPr>
        <w:t>č</w:t>
      </w:r>
      <w:r w:rsidRPr="00931F72">
        <w:t>ní a komunika</w:t>
      </w:r>
      <w:r w:rsidRPr="00931F72">
        <w:rPr>
          <w:rFonts w:hint="eastAsia"/>
        </w:rPr>
        <w:t>č</w:t>
      </w:r>
      <w:r w:rsidRPr="00931F72">
        <w:t>ní technologie</w:t>
      </w:r>
      <w:r>
        <w:t>“</w:t>
      </w:r>
    </w:p>
    <w:p w:rsidR="004A361F" w:rsidRPr="00532418" w:rsidRDefault="004A361F" w:rsidP="00532418">
      <w:pPr>
        <w:pStyle w:val="Bezmezer"/>
      </w:pPr>
      <w:r>
        <w:t>KH – Kutná Hora</w:t>
      </w:r>
    </w:p>
    <w:p w:rsidR="00DA61D6" w:rsidRDefault="00DA61D6" w:rsidP="00955CEC">
      <w:pPr>
        <w:pStyle w:val="Bezmezer"/>
      </w:pPr>
      <w:r>
        <w:t xml:space="preserve">MAP – </w:t>
      </w:r>
      <w:r w:rsidR="004F2CEA">
        <w:t>mí</w:t>
      </w:r>
      <w:r>
        <w:t>stní akční plán</w:t>
      </w:r>
      <w:r w:rsidRPr="00DA61D6">
        <w:t xml:space="preserve"> </w:t>
      </w:r>
    </w:p>
    <w:p w:rsidR="009C3D0D" w:rsidRDefault="009C3D0D" w:rsidP="00955CEC">
      <w:pPr>
        <w:pStyle w:val="Bezmezer"/>
      </w:pPr>
      <w:r>
        <w:t>MAS – místní akční skupina</w:t>
      </w:r>
    </w:p>
    <w:p w:rsidR="009C3D0D" w:rsidRDefault="009C3D0D" w:rsidP="00955CEC">
      <w:pPr>
        <w:pStyle w:val="Bezmezer"/>
      </w:pPr>
      <w:r>
        <w:t>MOS – meziobecní spolupráce</w:t>
      </w:r>
    </w:p>
    <w:p w:rsidR="00E96AC5" w:rsidRDefault="004F2CEA" w:rsidP="00955CEC">
      <w:pPr>
        <w:pStyle w:val="Bezmezer"/>
      </w:pPr>
      <w:r>
        <w:t>MŠ – mateřská škola</w:t>
      </w:r>
    </w:p>
    <w:p w:rsidR="00880B64" w:rsidRDefault="00880B64" w:rsidP="00955CEC">
      <w:pPr>
        <w:pStyle w:val="Bezmezer"/>
      </w:pPr>
      <w:r>
        <w:t>MŠMT – ministerstvo školství mládeže a tělovýchovy</w:t>
      </w:r>
    </w:p>
    <w:p w:rsidR="00DC7D90" w:rsidRDefault="00DC7D90" w:rsidP="00DC7D90">
      <w:pPr>
        <w:pStyle w:val="Bezmezer"/>
      </w:pPr>
      <w:r>
        <w:t>RVP ZV – rámcový vzdělávací program pro základní vzdělávání</w:t>
      </w:r>
    </w:p>
    <w:p w:rsidR="00DC7D90" w:rsidRDefault="00DC7D90" w:rsidP="00DC7D90">
      <w:pPr>
        <w:pStyle w:val="Bezmezer"/>
      </w:pPr>
      <w:r>
        <w:t>RVP PV – rámcový vzdělávací program pro předškolní vzdělávání</w:t>
      </w:r>
    </w:p>
    <w:p w:rsidR="00DA61D6" w:rsidRDefault="00806EB0" w:rsidP="00955CEC">
      <w:pPr>
        <w:pStyle w:val="Bezmezer"/>
      </w:pPr>
      <w:r>
        <w:t>SO ORP</w:t>
      </w:r>
      <w:r w:rsidR="00DA61D6">
        <w:t xml:space="preserve"> – </w:t>
      </w:r>
      <w:r w:rsidR="004F2CEA">
        <w:t>s</w:t>
      </w:r>
      <w:r>
        <w:t>právní obvod obce s rozšířenou působností</w:t>
      </w:r>
      <w:r w:rsidR="00DA61D6">
        <w:t xml:space="preserve"> </w:t>
      </w:r>
    </w:p>
    <w:p w:rsidR="0016408B" w:rsidRDefault="0016408B" w:rsidP="00955CEC">
      <w:pPr>
        <w:pStyle w:val="Bezmezer"/>
      </w:pPr>
      <w:r>
        <w:t>SVP – speciální vzdělávací potřeby</w:t>
      </w:r>
    </w:p>
    <w:p w:rsidR="00601EE3" w:rsidRDefault="00601EE3" w:rsidP="00955CEC">
      <w:pPr>
        <w:pStyle w:val="Bezmezer"/>
      </w:pPr>
      <w:r>
        <w:t xml:space="preserve">SWOT – </w:t>
      </w:r>
      <w:proofErr w:type="spellStart"/>
      <w:r>
        <w:t>strengths</w:t>
      </w:r>
      <w:proofErr w:type="spellEnd"/>
      <w:r>
        <w:t xml:space="preserve">, </w:t>
      </w:r>
      <w:proofErr w:type="spellStart"/>
      <w:r>
        <w:t>weaknesses</w:t>
      </w:r>
      <w:proofErr w:type="spellEnd"/>
      <w:r>
        <w:t xml:space="preserve">, </w:t>
      </w:r>
      <w:proofErr w:type="spellStart"/>
      <w:r>
        <w:t>opportunities</w:t>
      </w:r>
      <w:proofErr w:type="spellEnd"/>
      <w:r>
        <w:t xml:space="preserve">, </w:t>
      </w:r>
      <w:proofErr w:type="spellStart"/>
      <w:r>
        <w:t>threats</w:t>
      </w:r>
      <w:proofErr w:type="spellEnd"/>
      <w:r>
        <w:t xml:space="preserve"> (analýza silných a slabých stránek, příležitostí a hrozeb)</w:t>
      </w:r>
    </w:p>
    <w:p w:rsidR="00DA61D6" w:rsidRDefault="004F2CEA" w:rsidP="00955CEC">
      <w:pPr>
        <w:pStyle w:val="Bezmezer"/>
      </w:pPr>
      <w:r>
        <w:t>ZŠ</w:t>
      </w:r>
      <w:r w:rsidR="00DA61D6">
        <w:t xml:space="preserve"> – </w:t>
      </w:r>
      <w:r>
        <w:t>základní škola</w:t>
      </w:r>
    </w:p>
    <w:p w:rsidR="00DA61D6" w:rsidRDefault="00DA61D6" w:rsidP="00955CEC">
      <w:pPr>
        <w:pStyle w:val="Bezmezer"/>
      </w:pPr>
    </w:p>
    <w:p w:rsidR="00B2289A" w:rsidRDefault="00B2289A" w:rsidP="00955CEC">
      <w:pPr>
        <w:pStyle w:val="Bezmezer"/>
      </w:pPr>
      <w:r>
        <w:br w:type="page"/>
      </w:r>
    </w:p>
    <w:p w:rsidR="00D62A29" w:rsidRDefault="00D62A29" w:rsidP="00955CEC">
      <w:pPr>
        <w:pStyle w:val="Nadpis1"/>
      </w:pPr>
      <w:bookmarkStart w:id="44" w:name="_Toc465592591"/>
      <w:r>
        <w:lastRenderedPageBreak/>
        <w:t>Zdroje</w:t>
      </w:r>
      <w:bookmarkEnd w:id="44"/>
    </w:p>
    <w:p w:rsidR="00D62A29" w:rsidRDefault="00D62A29" w:rsidP="00955CEC">
      <w:pPr>
        <w:pStyle w:val="Bezmezer"/>
      </w:pPr>
      <w:r>
        <w:t>dokument „</w:t>
      </w:r>
      <w:r w:rsidR="00CF2F80">
        <w:t>P</w:t>
      </w:r>
      <w:r w:rsidR="00CF2F80" w:rsidRPr="00D62A29">
        <w:t>ostupy zpracování místních ak</w:t>
      </w:r>
      <w:r w:rsidR="00CF2F80" w:rsidRPr="00D62A29">
        <w:rPr>
          <w:rFonts w:hint="eastAsia"/>
        </w:rPr>
        <w:t>č</w:t>
      </w:r>
      <w:r w:rsidR="00CF2F80" w:rsidRPr="00D62A29">
        <w:t>ních plán</w:t>
      </w:r>
      <w:r w:rsidR="00CF2F80" w:rsidRPr="00D62A29">
        <w:rPr>
          <w:rFonts w:hint="eastAsia"/>
        </w:rPr>
        <w:t>ů</w:t>
      </w:r>
      <w:r w:rsidRPr="00D62A29">
        <w:t xml:space="preserve"> </w:t>
      </w:r>
      <w:r w:rsidR="00CF2F80">
        <w:t>- p</w:t>
      </w:r>
      <w:r w:rsidRPr="00D62A29">
        <w:t>říloha č. 2 výzvy k předkládání projektů</w:t>
      </w:r>
      <w:r>
        <w:t>“</w:t>
      </w:r>
    </w:p>
    <w:p w:rsidR="00D62A29" w:rsidRDefault="00D62A29" w:rsidP="00955CEC">
      <w:pPr>
        <w:pStyle w:val="Bezmezer"/>
      </w:pPr>
      <w:r>
        <w:t>dokument „</w:t>
      </w:r>
      <w:r w:rsidRPr="00D62A29">
        <w:t>Strategie území správního obvodu ORP Kutná Hora v oblasti školství, sociálních služeb, odpadového hospodářství a rekreace a cestovního ruchu</w:t>
      </w:r>
      <w:r>
        <w:t>“</w:t>
      </w:r>
    </w:p>
    <w:p w:rsidR="00CF2F80" w:rsidRDefault="00CF2F80" w:rsidP="00CF2F80">
      <w:pPr>
        <w:pStyle w:val="Bezmezer"/>
      </w:pPr>
      <w:r>
        <w:t>dokument „Strategie vzd</w:t>
      </w:r>
      <w:r>
        <w:rPr>
          <w:rFonts w:hint="eastAsia"/>
        </w:rPr>
        <w:t>ě</w:t>
      </w:r>
      <w:r>
        <w:t xml:space="preserve">lávací politiky </w:t>
      </w:r>
      <w:r>
        <w:rPr>
          <w:rFonts w:hint="eastAsia"/>
        </w:rPr>
        <w:t>Č</w:t>
      </w:r>
      <w:r>
        <w:t>eské republiky</w:t>
      </w:r>
      <w:r w:rsidRPr="00CF2F80">
        <w:t xml:space="preserve"> </w:t>
      </w:r>
      <w:r>
        <w:t>do roku 2020“</w:t>
      </w:r>
    </w:p>
    <w:p w:rsidR="007E02EB" w:rsidRDefault="007E02EB" w:rsidP="007E02EB">
      <w:pPr>
        <w:pStyle w:val="Bezmezer"/>
      </w:pPr>
      <w:r>
        <w:t>dokument „Dlouhodobý zám</w:t>
      </w:r>
      <w:r>
        <w:rPr>
          <w:rFonts w:hint="eastAsia"/>
        </w:rPr>
        <w:t>ě</w:t>
      </w:r>
      <w:r>
        <w:t>r vzd</w:t>
      </w:r>
      <w:r>
        <w:rPr>
          <w:rFonts w:hint="eastAsia"/>
        </w:rPr>
        <w:t>ě</w:t>
      </w:r>
      <w:r>
        <w:t>lávání a rozvoje vzd</w:t>
      </w:r>
      <w:r>
        <w:rPr>
          <w:rFonts w:hint="eastAsia"/>
        </w:rPr>
        <w:t>ě</w:t>
      </w:r>
      <w:r>
        <w:t>lávací soustavy ve St</w:t>
      </w:r>
      <w:r>
        <w:rPr>
          <w:rFonts w:hint="eastAsia"/>
        </w:rPr>
        <w:t>ř</w:t>
      </w:r>
      <w:r>
        <w:t>edo</w:t>
      </w:r>
      <w:r>
        <w:rPr>
          <w:rFonts w:hint="eastAsia"/>
        </w:rPr>
        <w:t>č</w:t>
      </w:r>
      <w:r>
        <w:t>eském kraji 2016 - 2020“</w:t>
      </w:r>
    </w:p>
    <w:p w:rsidR="007E02EB" w:rsidRDefault="007E02EB" w:rsidP="007E02EB">
      <w:pPr>
        <w:pStyle w:val="Bezmezer"/>
      </w:pPr>
      <w:r>
        <w:t>dokument „Strategie komunitn</w:t>
      </w:r>
      <w:r>
        <w:rPr>
          <w:rFonts w:hint="eastAsia"/>
        </w:rPr>
        <w:t>ě</w:t>
      </w:r>
      <w:r>
        <w:t xml:space="preserve"> vedeného místního rozvoje pro území MAS Lípa pro </w:t>
      </w:r>
      <w:proofErr w:type="gramStart"/>
      <w:r>
        <w:t>venkov, z.s.</w:t>
      </w:r>
      <w:proofErr w:type="gramEnd"/>
      <w:r>
        <w:t xml:space="preserve"> na období 2014 - 2020“</w:t>
      </w:r>
    </w:p>
    <w:p w:rsidR="00CF2F80" w:rsidRDefault="00CF2F80" w:rsidP="00CF2F80">
      <w:pPr>
        <w:pStyle w:val="Bezmezer"/>
      </w:pPr>
      <w:r>
        <w:t>dokument „Strategie vzd</w:t>
      </w:r>
      <w:r>
        <w:rPr>
          <w:rFonts w:hint="eastAsia"/>
        </w:rPr>
        <w:t>ě</w:t>
      </w:r>
      <w:r>
        <w:t>lávání pro Kutnou Horu do roku 2018“</w:t>
      </w:r>
    </w:p>
    <w:p w:rsidR="00E046A1" w:rsidRDefault="00E046A1" w:rsidP="00955CEC">
      <w:pPr>
        <w:pStyle w:val="Bezmezer"/>
      </w:pPr>
      <w:r>
        <w:t xml:space="preserve">web Centra pro regionální rozvoj České republiky: </w:t>
      </w:r>
      <w:r w:rsidR="00880B64" w:rsidRPr="00880B64">
        <w:t>http://</w:t>
      </w:r>
      <w:proofErr w:type="gramStart"/>
      <w:r w:rsidR="00880B64" w:rsidRPr="00880B64">
        <w:t>mapy</w:t>
      </w:r>
      <w:proofErr w:type="gramEnd"/>
      <w:r w:rsidR="00880B64" w:rsidRPr="00880B64">
        <w:t>.</w:t>
      </w:r>
      <w:proofErr w:type="gramStart"/>
      <w:r w:rsidR="00880B64" w:rsidRPr="00880B64">
        <w:t>crr</w:t>
      </w:r>
      <w:proofErr w:type="gramEnd"/>
      <w:r w:rsidR="00880B64" w:rsidRPr="00880B64">
        <w:t>.cz/tms/crr_a/admin/index.php#c=3517744%252C5526545&amp;z=4&amp;l=ajax_admin,ajax_admin_zabaged&amp;p=&amp;hs=1&amp;</w:t>
      </w:r>
    </w:p>
    <w:p w:rsidR="00880B64" w:rsidRDefault="00880B64" w:rsidP="00955CEC">
      <w:pPr>
        <w:pStyle w:val="Bezmezer"/>
      </w:pPr>
      <w:r>
        <w:t xml:space="preserve">databáze Českého statistického úřadu: </w:t>
      </w:r>
      <w:r w:rsidRPr="00880B64">
        <w:t>https://www.czso.cz/csu/czso/databaze-registry</w:t>
      </w:r>
    </w:p>
    <w:p w:rsidR="00880B64" w:rsidRPr="00D62A29" w:rsidRDefault="00880B64" w:rsidP="00955CEC">
      <w:pPr>
        <w:pStyle w:val="Bezmezer"/>
      </w:pPr>
    </w:p>
    <w:sectPr w:rsidR="00880B64" w:rsidRPr="00D62A29" w:rsidSect="00C53A6B">
      <w:pgSz w:w="11906" w:h="16838"/>
      <w:pgMar w:top="1418" w:right="1418" w:bottom="1418" w:left="1418" w:header="709" w:footer="709" w:gutter="0"/>
      <w:cols w:space="708"/>
      <w:docGrid w:linePitch="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88" w:rsidRDefault="00F01B88" w:rsidP="00955CEC">
      <w:r>
        <w:separator/>
      </w:r>
    </w:p>
    <w:p w:rsidR="00F01B88" w:rsidRDefault="00F01B88" w:rsidP="00955CEC"/>
    <w:p w:rsidR="00F01B88" w:rsidRDefault="00F01B88" w:rsidP="00DA2801"/>
  </w:endnote>
  <w:endnote w:type="continuationSeparator" w:id="0">
    <w:p w:rsidR="00F01B88" w:rsidRDefault="00F01B88" w:rsidP="00955CEC">
      <w:r>
        <w:continuationSeparator/>
      </w:r>
    </w:p>
    <w:p w:rsidR="00F01B88" w:rsidRDefault="00F01B88" w:rsidP="00955CEC"/>
    <w:p w:rsidR="00F01B88" w:rsidRDefault="00F01B88" w:rsidP="00DA2801"/>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gnika">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78228762"/>
      <w:docPartObj>
        <w:docPartGallery w:val="Page Numbers (Bottom of Page)"/>
        <w:docPartUnique/>
      </w:docPartObj>
    </w:sdtPr>
    <w:sdtEndPr>
      <w:rPr>
        <w:sz w:val="20"/>
        <w:szCs w:val="20"/>
      </w:rPr>
    </w:sdtEndPr>
    <w:sdtContent>
      <w:p w:rsidR="00A601D3" w:rsidRPr="00AA6FE2" w:rsidRDefault="005D3887" w:rsidP="005D3887">
        <w:pPr>
          <w:pStyle w:val="Bezmezer"/>
          <w:spacing w:before="0" w:after="0"/>
          <w:rPr>
            <w:i/>
          </w:rPr>
        </w:pPr>
        <w:r w:rsidRPr="005D3887">
          <w:rPr>
            <w:i/>
            <w:sz w:val="20"/>
            <w:szCs w:val="20"/>
          </w:rPr>
          <w:t>Místní ak</w:t>
        </w:r>
        <w:r w:rsidRPr="005D3887">
          <w:rPr>
            <w:rFonts w:hint="eastAsia"/>
            <w:i/>
            <w:sz w:val="20"/>
            <w:szCs w:val="20"/>
          </w:rPr>
          <w:t>č</w:t>
        </w:r>
        <w:r w:rsidRPr="005D3887">
          <w:rPr>
            <w:i/>
            <w:sz w:val="20"/>
            <w:szCs w:val="20"/>
          </w:rPr>
          <w:t>ní plán pro vzd</w:t>
        </w:r>
        <w:r w:rsidRPr="005D3887">
          <w:rPr>
            <w:rFonts w:hint="eastAsia"/>
            <w:i/>
            <w:sz w:val="20"/>
            <w:szCs w:val="20"/>
          </w:rPr>
          <w:t>ě</w:t>
        </w:r>
        <w:r w:rsidRPr="005D3887">
          <w:rPr>
            <w:i/>
            <w:sz w:val="20"/>
            <w:szCs w:val="20"/>
          </w:rPr>
          <w:t>lávání SO ORP Kutná Hora</w:t>
        </w:r>
        <w:r>
          <w:rPr>
            <w:i/>
          </w:rPr>
          <w:tab/>
        </w:r>
        <w:r>
          <w:rPr>
            <w:i/>
          </w:rPr>
          <w:tab/>
        </w:r>
        <w:r>
          <w:rPr>
            <w:i/>
          </w:rPr>
          <w:tab/>
        </w:r>
        <w:r>
          <w:rPr>
            <w:i/>
          </w:rPr>
          <w:tab/>
        </w:r>
        <w:r>
          <w:rPr>
            <w:i/>
          </w:rPr>
          <w:tab/>
          <w:t xml:space="preserve">                </w:t>
        </w:r>
        <w:r w:rsidR="00FA6530" w:rsidRPr="00AA1935">
          <w:rPr>
            <w:i/>
            <w:sz w:val="20"/>
            <w:szCs w:val="20"/>
          </w:rPr>
          <w:fldChar w:fldCharType="begin"/>
        </w:r>
        <w:r w:rsidR="00A601D3" w:rsidRPr="00AA1935">
          <w:rPr>
            <w:i/>
            <w:sz w:val="20"/>
            <w:szCs w:val="20"/>
          </w:rPr>
          <w:instrText xml:space="preserve"> PAGE   \* MERGEFORMAT </w:instrText>
        </w:r>
        <w:r w:rsidR="00FA6530" w:rsidRPr="00AA1935">
          <w:rPr>
            <w:i/>
            <w:sz w:val="20"/>
            <w:szCs w:val="20"/>
          </w:rPr>
          <w:fldChar w:fldCharType="separate"/>
        </w:r>
        <w:r>
          <w:rPr>
            <w:i/>
            <w:noProof/>
            <w:sz w:val="20"/>
            <w:szCs w:val="20"/>
          </w:rPr>
          <w:t>77</w:t>
        </w:r>
        <w:r w:rsidR="00FA6530" w:rsidRPr="00AA1935">
          <w:rPr>
            <w: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88" w:rsidRDefault="00F01B88" w:rsidP="00955CEC">
      <w:r>
        <w:separator/>
      </w:r>
    </w:p>
    <w:p w:rsidR="00F01B88" w:rsidRDefault="00F01B88" w:rsidP="00955CEC"/>
    <w:p w:rsidR="00F01B88" w:rsidRDefault="00F01B88" w:rsidP="00DA2801"/>
  </w:footnote>
  <w:footnote w:type="continuationSeparator" w:id="0">
    <w:p w:rsidR="00F01B88" w:rsidRDefault="00F01B88" w:rsidP="00955CEC">
      <w:r>
        <w:continuationSeparator/>
      </w:r>
    </w:p>
    <w:p w:rsidR="00F01B88" w:rsidRDefault="00F01B88" w:rsidP="00955CEC"/>
    <w:p w:rsidR="00F01B88" w:rsidRDefault="00F01B88" w:rsidP="00DA28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87" w:rsidRDefault="005D3887" w:rsidP="00AA6FE2">
    <w:pPr>
      <w:pStyle w:val="Bezmezer"/>
      <w:spacing w:before="0" w:after="0"/>
      <w:rPr>
        <w:i/>
        <w:sz w:val="20"/>
        <w:szCs w:val="20"/>
      </w:rPr>
    </w:pPr>
    <w:r>
      <w:rPr>
        <w:i/>
        <w:noProof/>
        <w:sz w:val="20"/>
        <w:szCs w:val="20"/>
        <w:lang w:eastAsia="cs-CZ"/>
      </w:rPr>
      <w:drawing>
        <wp:anchor distT="0" distB="0" distL="114300" distR="114300" simplePos="0" relativeHeight="251659264" behindDoc="1" locked="0" layoutInCell="1" allowOverlap="1">
          <wp:simplePos x="0" y="0"/>
          <wp:positionH relativeFrom="column">
            <wp:posOffset>22387</wp:posOffset>
          </wp:positionH>
          <wp:positionV relativeFrom="paragraph">
            <wp:posOffset>-386419</wp:posOffset>
          </wp:positionV>
          <wp:extent cx="5754430" cy="680484"/>
          <wp:effectExtent l="19050" t="0" r="0" b="0"/>
          <wp:wrapNone/>
          <wp:docPr id="194" name="Obrázek 1" descr="C:\Users\Admin\Desktop\MA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AP\Logolink_OP_VVV_hor_barva_cz.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9200" b="21600"/>
                  <a:stretch>
                    <a:fillRect/>
                  </a:stretch>
                </pic:blipFill>
                <pic:spPr bwMode="auto">
                  <a:xfrm>
                    <a:off x="0" y="0"/>
                    <a:ext cx="5754370" cy="680477"/>
                  </a:xfrm>
                  <a:prstGeom prst="rect">
                    <a:avLst/>
                  </a:prstGeom>
                  <a:noFill/>
                  <a:ln>
                    <a:noFill/>
                  </a:ln>
                </pic:spPr>
              </pic:pic>
            </a:graphicData>
          </a:graphic>
        </wp:anchor>
      </w:drawing>
    </w:r>
  </w:p>
  <w:p w:rsidR="005D3887" w:rsidRDefault="005D3887" w:rsidP="00AA6FE2">
    <w:pPr>
      <w:pStyle w:val="Bezmezer"/>
      <w:spacing w:before="0" w:after="0"/>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B86"/>
    <w:multiLevelType w:val="hybridMultilevel"/>
    <w:tmpl w:val="7646DE58"/>
    <w:lvl w:ilvl="0" w:tplc="97029B3E">
      <w:numFmt w:val="bullet"/>
      <w:lvlText w:val="•"/>
      <w:lvlJc w:val="left"/>
      <w:pPr>
        <w:ind w:left="720" w:hanging="360"/>
      </w:pPr>
      <w:rPr>
        <w:rFonts w:ascii="Helvetica" w:eastAsiaTheme="minorHAnsi" w:hAnsi="Helvetic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E4E52"/>
    <w:multiLevelType w:val="hybridMultilevel"/>
    <w:tmpl w:val="E8C2F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1945A3"/>
    <w:multiLevelType w:val="hybridMultilevel"/>
    <w:tmpl w:val="72ACC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337563"/>
    <w:multiLevelType w:val="hybridMultilevel"/>
    <w:tmpl w:val="493CE206"/>
    <w:lvl w:ilvl="0" w:tplc="97029B3E">
      <w:numFmt w:val="bullet"/>
      <w:lvlText w:val="•"/>
      <w:lvlJc w:val="left"/>
      <w:pPr>
        <w:ind w:left="720" w:hanging="360"/>
      </w:pPr>
      <w:rPr>
        <w:rFonts w:ascii="Helvetica" w:eastAsiaTheme="minorHAnsi" w:hAnsi="Helvetic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97029B3E">
      <w:numFmt w:val="bullet"/>
      <w:lvlText w:val="•"/>
      <w:lvlJc w:val="left"/>
      <w:pPr>
        <w:ind w:left="2880" w:hanging="360"/>
      </w:pPr>
      <w:rPr>
        <w:rFonts w:ascii="Helvetica" w:eastAsiaTheme="minorHAnsi" w:hAnsi="Helvetica"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C96484"/>
    <w:multiLevelType w:val="hybridMultilevel"/>
    <w:tmpl w:val="D7EE6328"/>
    <w:lvl w:ilvl="0" w:tplc="97029B3E">
      <w:numFmt w:val="bullet"/>
      <w:lvlText w:val="•"/>
      <w:lvlJc w:val="left"/>
      <w:pPr>
        <w:ind w:left="720" w:hanging="360"/>
      </w:pPr>
      <w:rPr>
        <w:rFonts w:ascii="Helvetica" w:eastAsiaTheme="minorHAnsi" w:hAnsi="Helvetic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3D3EF6"/>
    <w:multiLevelType w:val="hybridMultilevel"/>
    <w:tmpl w:val="2CE24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441BDA"/>
    <w:multiLevelType w:val="hybridMultilevel"/>
    <w:tmpl w:val="82CA0EB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7">
    <w:nsid w:val="0A0D391B"/>
    <w:multiLevelType w:val="hybridMultilevel"/>
    <w:tmpl w:val="E5CC7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342292"/>
    <w:multiLevelType w:val="hybridMultilevel"/>
    <w:tmpl w:val="E2602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1323CD"/>
    <w:multiLevelType w:val="hybridMultilevel"/>
    <w:tmpl w:val="6D12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AC51FB"/>
    <w:multiLevelType w:val="hybridMultilevel"/>
    <w:tmpl w:val="BF20B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B31848"/>
    <w:multiLevelType w:val="hybridMultilevel"/>
    <w:tmpl w:val="86061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1E0B54"/>
    <w:multiLevelType w:val="hybridMultilevel"/>
    <w:tmpl w:val="AFB40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565444"/>
    <w:multiLevelType w:val="hybridMultilevel"/>
    <w:tmpl w:val="7BFAA904"/>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4">
    <w:nsid w:val="254D423F"/>
    <w:multiLevelType w:val="hybridMultilevel"/>
    <w:tmpl w:val="42CE2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A83C84"/>
    <w:multiLevelType w:val="hybridMultilevel"/>
    <w:tmpl w:val="9FDC5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3721AB"/>
    <w:multiLevelType w:val="hybridMultilevel"/>
    <w:tmpl w:val="FF8C5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E24AB4"/>
    <w:multiLevelType w:val="hybridMultilevel"/>
    <w:tmpl w:val="6592F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CC55D6"/>
    <w:multiLevelType w:val="hybridMultilevel"/>
    <w:tmpl w:val="780E4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DF5EC8"/>
    <w:multiLevelType w:val="hybridMultilevel"/>
    <w:tmpl w:val="04F0ED2E"/>
    <w:lvl w:ilvl="0" w:tplc="97029B3E">
      <w:numFmt w:val="bullet"/>
      <w:lvlText w:val="•"/>
      <w:lvlJc w:val="left"/>
      <w:pPr>
        <w:ind w:left="720" w:hanging="360"/>
      </w:pPr>
      <w:rPr>
        <w:rFonts w:ascii="Helvetica" w:eastAsiaTheme="minorHAnsi" w:hAnsi="Helvetic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7F44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9923DD"/>
    <w:multiLevelType w:val="hybridMultilevel"/>
    <w:tmpl w:val="0510B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ED22FC9"/>
    <w:multiLevelType w:val="hybridMultilevel"/>
    <w:tmpl w:val="E146E8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97029B3E">
      <w:numFmt w:val="bullet"/>
      <w:lvlText w:val="•"/>
      <w:lvlJc w:val="left"/>
      <w:pPr>
        <w:ind w:left="2880" w:hanging="360"/>
      </w:pPr>
      <w:rPr>
        <w:rFonts w:ascii="Helvetica" w:eastAsiaTheme="minorHAnsi" w:hAnsi="Helvetica"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6D5884"/>
    <w:multiLevelType w:val="hybridMultilevel"/>
    <w:tmpl w:val="2C68068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D50A2F"/>
    <w:multiLevelType w:val="hybridMultilevel"/>
    <w:tmpl w:val="D44E712C"/>
    <w:lvl w:ilvl="0" w:tplc="97029B3E">
      <w:numFmt w:val="bullet"/>
      <w:lvlText w:val="•"/>
      <w:lvlJc w:val="left"/>
      <w:pPr>
        <w:ind w:left="720" w:hanging="360"/>
      </w:pPr>
      <w:rPr>
        <w:rFonts w:ascii="Helvetica" w:eastAsiaTheme="minorHAnsi" w:hAnsi="Helvetic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AE0255B"/>
    <w:multiLevelType w:val="hybridMultilevel"/>
    <w:tmpl w:val="06FC5EAC"/>
    <w:lvl w:ilvl="0" w:tplc="4990AA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315B07"/>
    <w:multiLevelType w:val="hybridMultilevel"/>
    <w:tmpl w:val="E8407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216A36"/>
    <w:multiLevelType w:val="hybridMultilevel"/>
    <w:tmpl w:val="B074F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1607BE"/>
    <w:multiLevelType w:val="hybridMultilevel"/>
    <w:tmpl w:val="6938E390"/>
    <w:lvl w:ilvl="0" w:tplc="97029B3E">
      <w:numFmt w:val="bullet"/>
      <w:lvlText w:val="•"/>
      <w:lvlJc w:val="left"/>
      <w:pPr>
        <w:ind w:left="720" w:hanging="360"/>
      </w:pPr>
      <w:rPr>
        <w:rFonts w:ascii="Helvetica" w:eastAsiaTheme="minorHAnsi" w:hAnsi="Helvetic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20B36EA"/>
    <w:multiLevelType w:val="hybridMultilevel"/>
    <w:tmpl w:val="DD04A24A"/>
    <w:lvl w:ilvl="0" w:tplc="97029B3E">
      <w:numFmt w:val="bullet"/>
      <w:lvlText w:val="•"/>
      <w:lvlJc w:val="left"/>
      <w:pPr>
        <w:ind w:left="720" w:hanging="360"/>
      </w:pPr>
      <w:rPr>
        <w:rFonts w:ascii="Helvetica" w:eastAsiaTheme="minorHAnsi" w:hAnsi="Helvetic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B41688"/>
    <w:multiLevelType w:val="hybridMultilevel"/>
    <w:tmpl w:val="378C533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446A42"/>
    <w:multiLevelType w:val="hybridMultilevel"/>
    <w:tmpl w:val="764A8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76B675D"/>
    <w:multiLevelType w:val="hybridMultilevel"/>
    <w:tmpl w:val="23BAFA9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11A6293"/>
    <w:multiLevelType w:val="hybridMultilevel"/>
    <w:tmpl w:val="F2927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C874E1"/>
    <w:multiLevelType w:val="hybridMultilevel"/>
    <w:tmpl w:val="6DAC0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2AD59DE"/>
    <w:multiLevelType w:val="hybridMultilevel"/>
    <w:tmpl w:val="C3B0B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D65625"/>
    <w:multiLevelType w:val="hybridMultilevel"/>
    <w:tmpl w:val="CB8E8D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B70A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584EC7"/>
    <w:multiLevelType w:val="hybridMultilevel"/>
    <w:tmpl w:val="E3C6BEBE"/>
    <w:lvl w:ilvl="0" w:tplc="FA96E81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093E03"/>
    <w:multiLevelType w:val="hybridMultilevel"/>
    <w:tmpl w:val="6AB2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9551E22"/>
    <w:multiLevelType w:val="hybridMultilevel"/>
    <w:tmpl w:val="29946674"/>
    <w:lvl w:ilvl="0" w:tplc="E3CA48C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9C32D54"/>
    <w:multiLevelType w:val="hybridMultilevel"/>
    <w:tmpl w:val="6EC4C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613A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0B5BDA"/>
    <w:multiLevelType w:val="hybridMultilevel"/>
    <w:tmpl w:val="1DCA5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935231"/>
    <w:multiLevelType w:val="hybridMultilevel"/>
    <w:tmpl w:val="D10C7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ECC3958"/>
    <w:multiLevelType w:val="hybridMultilevel"/>
    <w:tmpl w:val="35A45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ED759F9"/>
    <w:multiLevelType w:val="multilevel"/>
    <w:tmpl w:val="FC70F7D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8"/>
  </w:num>
  <w:num w:numId="2">
    <w:abstractNumId w:val="40"/>
  </w:num>
  <w:num w:numId="3">
    <w:abstractNumId w:val="25"/>
  </w:num>
  <w:num w:numId="4">
    <w:abstractNumId w:val="20"/>
  </w:num>
  <w:num w:numId="5">
    <w:abstractNumId w:val="42"/>
  </w:num>
  <w:num w:numId="6">
    <w:abstractNumId w:val="37"/>
  </w:num>
  <w:num w:numId="7">
    <w:abstractNumId w:val="46"/>
  </w:num>
  <w:num w:numId="8">
    <w:abstractNumId w:val="17"/>
  </w:num>
  <w:num w:numId="9">
    <w:abstractNumId w:val="12"/>
  </w:num>
  <w:num w:numId="10">
    <w:abstractNumId w:val="19"/>
  </w:num>
  <w:num w:numId="11">
    <w:abstractNumId w:val="29"/>
  </w:num>
  <w:num w:numId="12">
    <w:abstractNumId w:val="4"/>
  </w:num>
  <w:num w:numId="13">
    <w:abstractNumId w:val="0"/>
  </w:num>
  <w:num w:numId="14">
    <w:abstractNumId w:val="44"/>
  </w:num>
  <w:num w:numId="15">
    <w:abstractNumId w:val="34"/>
  </w:num>
  <w:num w:numId="16">
    <w:abstractNumId w:val="14"/>
  </w:num>
  <w:num w:numId="17">
    <w:abstractNumId w:val="8"/>
  </w:num>
  <w:num w:numId="18">
    <w:abstractNumId w:val="23"/>
  </w:num>
  <w:num w:numId="19">
    <w:abstractNumId w:val="30"/>
  </w:num>
  <w:num w:numId="20">
    <w:abstractNumId w:val="26"/>
  </w:num>
  <w:num w:numId="21">
    <w:abstractNumId w:val="3"/>
  </w:num>
  <w:num w:numId="22">
    <w:abstractNumId w:val="16"/>
  </w:num>
  <w:num w:numId="23">
    <w:abstractNumId w:val="6"/>
  </w:num>
  <w:num w:numId="24">
    <w:abstractNumId w:val="13"/>
  </w:num>
  <w:num w:numId="25">
    <w:abstractNumId w:val="32"/>
  </w:num>
  <w:num w:numId="26">
    <w:abstractNumId w:val="43"/>
  </w:num>
  <w:num w:numId="27">
    <w:abstractNumId w:val="39"/>
  </w:num>
  <w:num w:numId="28">
    <w:abstractNumId w:val="27"/>
  </w:num>
  <w:num w:numId="29">
    <w:abstractNumId w:val="1"/>
  </w:num>
  <w:num w:numId="30">
    <w:abstractNumId w:val="36"/>
  </w:num>
  <w:num w:numId="31">
    <w:abstractNumId w:val="22"/>
  </w:num>
  <w:num w:numId="32">
    <w:abstractNumId w:val="10"/>
  </w:num>
  <w:num w:numId="33">
    <w:abstractNumId w:val="9"/>
  </w:num>
  <w:num w:numId="34">
    <w:abstractNumId w:val="33"/>
  </w:num>
  <w:num w:numId="35">
    <w:abstractNumId w:val="28"/>
  </w:num>
  <w:num w:numId="36">
    <w:abstractNumId w:val="24"/>
  </w:num>
  <w:num w:numId="37">
    <w:abstractNumId w:val="21"/>
  </w:num>
  <w:num w:numId="38">
    <w:abstractNumId w:val="11"/>
  </w:num>
  <w:num w:numId="39">
    <w:abstractNumId w:val="35"/>
  </w:num>
  <w:num w:numId="40">
    <w:abstractNumId w:val="41"/>
  </w:num>
  <w:num w:numId="41">
    <w:abstractNumId w:val="7"/>
  </w:num>
  <w:num w:numId="42">
    <w:abstractNumId w:val="2"/>
  </w:num>
  <w:num w:numId="43">
    <w:abstractNumId w:val="18"/>
  </w:num>
  <w:num w:numId="44">
    <w:abstractNumId w:val="31"/>
  </w:num>
  <w:num w:numId="45">
    <w:abstractNumId w:val="5"/>
  </w:num>
  <w:num w:numId="46">
    <w:abstractNumId w:val="45"/>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26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100D2"/>
    <w:rsid w:val="0001762D"/>
    <w:rsid w:val="000224C1"/>
    <w:rsid w:val="00026C1C"/>
    <w:rsid w:val="00030A84"/>
    <w:rsid w:val="0003389E"/>
    <w:rsid w:val="00034453"/>
    <w:rsid w:val="00042579"/>
    <w:rsid w:val="00042BC8"/>
    <w:rsid w:val="00043F0D"/>
    <w:rsid w:val="000442C2"/>
    <w:rsid w:val="00046B1E"/>
    <w:rsid w:val="00047165"/>
    <w:rsid w:val="000534FB"/>
    <w:rsid w:val="00054738"/>
    <w:rsid w:val="00054DF6"/>
    <w:rsid w:val="00055A39"/>
    <w:rsid w:val="0005656E"/>
    <w:rsid w:val="00057861"/>
    <w:rsid w:val="00057A01"/>
    <w:rsid w:val="00060837"/>
    <w:rsid w:val="00063559"/>
    <w:rsid w:val="00064A63"/>
    <w:rsid w:val="000652DE"/>
    <w:rsid w:val="0007569B"/>
    <w:rsid w:val="000831F3"/>
    <w:rsid w:val="000841E6"/>
    <w:rsid w:val="00084C2B"/>
    <w:rsid w:val="00093FF6"/>
    <w:rsid w:val="00095988"/>
    <w:rsid w:val="00095C99"/>
    <w:rsid w:val="00095CA7"/>
    <w:rsid w:val="00096702"/>
    <w:rsid w:val="00097537"/>
    <w:rsid w:val="000A65A7"/>
    <w:rsid w:val="000B1399"/>
    <w:rsid w:val="000B1D0E"/>
    <w:rsid w:val="000B20A4"/>
    <w:rsid w:val="000B2719"/>
    <w:rsid w:val="000B4EA8"/>
    <w:rsid w:val="000B6CFC"/>
    <w:rsid w:val="000B7DE5"/>
    <w:rsid w:val="000B7E8F"/>
    <w:rsid w:val="000B7FD6"/>
    <w:rsid w:val="000C072C"/>
    <w:rsid w:val="000C4923"/>
    <w:rsid w:val="000C55D0"/>
    <w:rsid w:val="000D2D33"/>
    <w:rsid w:val="000D6F4C"/>
    <w:rsid w:val="000E00C7"/>
    <w:rsid w:val="000E5133"/>
    <w:rsid w:val="000E59B1"/>
    <w:rsid w:val="000F0779"/>
    <w:rsid w:val="000F172D"/>
    <w:rsid w:val="000F2485"/>
    <w:rsid w:val="000F348F"/>
    <w:rsid w:val="001006B8"/>
    <w:rsid w:val="00104319"/>
    <w:rsid w:val="00107158"/>
    <w:rsid w:val="00107C69"/>
    <w:rsid w:val="001119E4"/>
    <w:rsid w:val="00111D84"/>
    <w:rsid w:val="00114F08"/>
    <w:rsid w:val="001174AD"/>
    <w:rsid w:val="00117ADD"/>
    <w:rsid w:val="00125FDC"/>
    <w:rsid w:val="001330C1"/>
    <w:rsid w:val="00133557"/>
    <w:rsid w:val="00140875"/>
    <w:rsid w:val="00142A3B"/>
    <w:rsid w:val="0014715D"/>
    <w:rsid w:val="00156BE6"/>
    <w:rsid w:val="0016408B"/>
    <w:rsid w:val="00167044"/>
    <w:rsid w:val="00171FBB"/>
    <w:rsid w:val="0017248F"/>
    <w:rsid w:val="00173767"/>
    <w:rsid w:val="00176C93"/>
    <w:rsid w:val="00177384"/>
    <w:rsid w:val="00177B56"/>
    <w:rsid w:val="00185EEC"/>
    <w:rsid w:val="00187B83"/>
    <w:rsid w:val="0019252F"/>
    <w:rsid w:val="00192581"/>
    <w:rsid w:val="00192F42"/>
    <w:rsid w:val="001A16AE"/>
    <w:rsid w:val="001A2420"/>
    <w:rsid w:val="001A4EA6"/>
    <w:rsid w:val="001A7AA2"/>
    <w:rsid w:val="001B3334"/>
    <w:rsid w:val="001B3FE1"/>
    <w:rsid w:val="001B6AB0"/>
    <w:rsid w:val="001C0BFA"/>
    <w:rsid w:val="001C5DE0"/>
    <w:rsid w:val="001C6780"/>
    <w:rsid w:val="001D025D"/>
    <w:rsid w:val="001D3C97"/>
    <w:rsid w:val="001D4584"/>
    <w:rsid w:val="001D682D"/>
    <w:rsid w:val="001E0436"/>
    <w:rsid w:val="001E393F"/>
    <w:rsid w:val="001E6DC7"/>
    <w:rsid w:val="001F127C"/>
    <w:rsid w:val="001F5397"/>
    <w:rsid w:val="001F76F5"/>
    <w:rsid w:val="00203066"/>
    <w:rsid w:val="002036E3"/>
    <w:rsid w:val="0020410A"/>
    <w:rsid w:val="002058B0"/>
    <w:rsid w:val="0020605C"/>
    <w:rsid w:val="002111C3"/>
    <w:rsid w:val="00212D9F"/>
    <w:rsid w:val="00213CCF"/>
    <w:rsid w:val="00214A0E"/>
    <w:rsid w:val="00220E84"/>
    <w:rsid w:val="00221759"/>
    <w:rsid w:val="00223560"/>
    <w:rsid w:val="0022589E"/>
    <w:rsid w:val="00225E2E"/>
    <w:rsid w:val="002272AD"/>
    <w:rsid w:val="00227E8F"/>
    <w:rsid w:val="002329A4"/>
    <w:rsid w:val="00234771"/>
    <w:rsid w:val="00234B4D"/>
    <w:rsid w:val="002364E6"/>
    <w:rsid w:val="00250254"/>
    <w:rsid w:val="00253C9F"/>
    <w:rsid w:val="00260C08"/>
    <w:rsid w:val="0026215F"/>
    <w:rsid w:val="002702F4"/>
    <w:rsid w:val="00271A77"/>
    <w:rsid w:val="00283947"/>
    <w:rsid w:val="00284B2B"/>
    <w:rsid w:val="002856CF"/>
    <w:rsid w:val="00286D09"/>
    <w:rsid w:val="00290316"/>
    <w:rsid w:val="002912FE"/>
    <w:rsid w:val="00291A1F"/>
    <w:rsid w:val="0029300A"/>
    <w:rsid w:val="002935CA"/>
    <w:rsid w:val="00296C18"/>
    <w:rsid w:val="002A52FC"/>
    <w:rsid w:val="002A69AE"/>
    <w:rsid w:val="002B6A35"/>
    <w:rsid w:val="002B7AEC"/>
    <w:rsid w:val="002C0CBA"/>
    <w:rsid w:val="002C1375"/>
    <w:rsid w:val="002C54D6"/>
    <w:rsid w:val="002C5713"/>
    <w:rsid w:val="002C6A0A"/>
    <w:rsid w:val="002C6D1E"/>
    <w:rsid w:val="002D0559"/>
    <w:rsid w:val="002D2647"/>
    <w:rsid w:val="002D3EBB"/>
    <w:rsid w:val="002D7ABF"/>
    <w:rsid w:val="002E1059"/>
    <w:rsid w:val="002E42F0"/>
    <w:rsid w:val="002E7A22"/>
    <w:rsid w:val="002F1087"/>
    <w:rsid w:val="002F5362"/>
    <w:rsid w:val="002F7BC1"/>
    <w:rsid w:val="00300738"/>
    <w:rsid w:val="00301095"/>
    <w:rsid w:val="003034C8"/>
    <w:rsid w:val="00314920"/>
    <w:rsid w:val="00316AFD"/>
    <w:rsid w:val="003222C6"/>
    <w:rsid w:val="003329B0"/>
    <w:rsid w:val="00336999"/>
    <w:rsid w:val="00341A7C"/>
    <w:rsid w:val="00346B20"/>
    <w:rsid w:val="00356D3D"/>
    <w:rsid w:val="003619EB"/>
    <w:rsid w:val="003642E1"/>
    <w:rsid w:val="003645F5"/>
    <w:rsid w:val="003649FC"/>
    <w:rsid w:val="00366CCC"/>
    <w:rsid w:val="00374529"/>
    <w:rsid w:val="00374727"/>
    <w:rsid w:val="00376B6B"/>
    <w:rsid w:val="00377547"/>
    <w:rsid w:val="0038323E"/>
    <w:rsid w:val="00386408"/>
    <w:rsid w:val="003875AA"/>
    <w:rsid w:val="0038795C"/>
    <w:rsid w:val="00390D55"/>
    <w:rsid w:val="003927AE"/>
    <w:rsid w:val="0039547F"/>
    <w:rsid w:val="0039783C"/>
    <w:rsid w:val="003A0590"/>
    <w:rsid w:val="003A4AE6"/>
    <w:rsid w:val="003B76C2"/>
    <w:rsid w:val="003C1E63"/>
    <w:rsid w:val="003C214F"/>
    <w:rsid w:val="003C3328"/>
    <w:rsid w:val="003D4E83"/>
    <w:rsid w:val="003D5DBE"/>
    <w:rsid w:val="003D6AFF"/>
    <w:rsid w:val="003E1660"/>
    <w:rsid w:val="003E721F"/>
    <w:rsid w:val="003E7439"/>
    <w:rsid w:val="003F21B6"/>
    <w:rsid w:val="003F455A"/>
    <w:rsid w:val="003F4E94"/>
    <w:rsid w:val="003F6043"/>
    <w:rsid w:val="00400054"/>
    <w:rsid w:val="00406847"/>
    <w:rsid w:val="0041055E"/>
    <w:rsid w:val="004115F3"/>
    <w:rsid w:val="0041325A"/>
    <w:rsid w:val="00415C21"/>
    <w:rsid w:val="00415C7E"/>
    <w:rsid w:val="0041744F"/>
    <w:rsid w:val="004202B1"/>
    <w:rsid w:val="00421B20"/>
    <w:rsid w:val="004224AA"/>
    <w:rsid w:val="004262BE"/>
    <w:rsid w:val="004262C6"/>
    <w:rsid w:val="00430FAF"/>
    <w:rsid w:val="004324CE"/>
    <w:rsid w:val="0044051C"/>
    <w:rsid w:val="00451C9C"/>
    <w:rsid w:val="00452E67"/>
    <w:rsid w:val="00461F7C"/>
    <w:rsid w:val="00465256"/>
    <w:rsid w:val="00466DA0"/>
    <w:rsid w:val="00470DBC"/>
    <w:rsid w:val="00471F3A"/>
    <w:rsid w:val="0047492A"/>
    <w:rsid w:val="00476C67"/>
    <w:rsid w:val="0047790D"/>
    <w:rsid w:val="004820C7"/>
    <w:rsid w:val="00484C37"/>
    <w:rsid w:val="00484C3D"/>
    <w:rsid w:val="00487028"/>
    <w:rsid w:val="00490EE3"/>
    <w:rsid w:val="004A03DF"/>
    <w:rsid w:val="004A2383"/>
    <w:rsid w:val="004A361F"/>
    <w:rsid w:val="004A7F06"/>
    <w:rsid w:val="004B1A8F"/>
    <w:rsid w:val="004B1B6C"/>
    <w:rsid w:val="004B48B2"/>
    <w:rsid w:val="004B70D5"/>
    <w:rsid w:val="004B7BF5"/>
    <w:rsid w:val="004B7D48"/>
    <w:rsid w:val="004C2EE6"/>
    <w:rsid w:val="004C3911"/>
    <w:rsid w:val="004D3DD1"/>
    <w:rsid w:val="004E178A"/>
    <w:rsid w:val="004E3B6B"/>
    <w:rsid w:val="004F1E0B"/>
    <w:rsid w:val="004F2CEA"/>
    <w:rsid w:val="005015C5"/>
    <w:rsid w:val="00504E1F"/>
    <w:rsid w:val="0050508A"/>
    <w:rsid w:val="00507A8A"/>
    <w:rsid w:val="00511065"/>
    <w:rsid w:val="0051405F"/>
    <w:rsid w:val="00514615"/>
    <w:rsid w:val="0051506F"/>
    <w:rsid w:val="00515AFF"/>
    <w:rsid w:val="00517919"/>
    <w:rsid w:val="00517A68"/>
    <w:rsid w:val="00521E68"/>
    <w:rsid w:val="00523548"/>
    <w:rsid w:val="0052458C"/>
    <w:rsid w:val="00532418"/>
    <w:rsid w:val="00534793"/>
    <w:rsid w:val="005374AD"/>
    <w:rsid w:val="00537CB0"/>
    <w:rsid w:val="00541F23"/>
    <w:rsid w:val="00543E33"/>
    <w:rsid w:val="00546529"/>
    <w:rsid w:val="00550181"/>
    <w:rsid w:val="00552009"/>
    <w:rsid w:val="00554B66"/>
    <w:rsid w:val="00560CBB"/>
    <w:rsid w:val="00561771"/>
    <w:rsid w:val="005619A8"/>
    <w:rsid w:val="005649B3"/>
    <w:rsid w:val="00565575"/>
    <w:rsid w:val="00567927"/>
    <w:rsid w:val="00573FB2"/>
    <w:rsid w:val="00576A70"/>
    <w:rsid w:val="005828A2"/>
    <w:rsid w:val="005835FA"/>
    <w:rsid w:val="00586FB6"/>
    <w:rsid w:val="00591395"/>
    <w:rsid w:val="00594E94"/>
    <w:rsid w:val="005952A8"/>
    <w:rsid w:val="005963C6"/>
    <w:rsid w:val="00596AB1"/>
    <w:rsid w:val="005A11C3"/>
    <w:rsid w:val="005A7DF6"/>
    <w:rsid w:val="005B1E84"/>
    <w:rsid w:val="005B2A5D"/>
    <w:rsid w:val="005B467C"/>
    <w:rsid w:val="005B4D5A"/>
    <w:rsid w:val="005B63DC"/>
    <w:rsid w:val="005B6F71"/>
    <w:rsid w:val="005C0DC0"/>
    <w:rsid w:val="005C23A5"/>
    <w:rsid w:val="005C3BC4"/>
    <w:rsid w:val="005C421B"/>
    <w:rsid w:val="005C7EF2"/>
    <w:rsid w:val="005D22FB"/>
    <w:rsid w:val="005D3887"/>
    <w:rsid w:val="005D5522"/>
    <w:rsid w:val="005E1876"/>
    <w:rsid w:val="005E1ACB"/>
    <w:rsid w:val="005E34DC"/>
    <w:rsid w:val="005E36B5"/>
    <w:rsid w:val="005E4E3B"/>
    <w:rsid w:val="005E6E6A"/>
    <w:rsid w:val="005E7EA0"/>
    <w:rsid w:val="005F1640"/>
    <w:rsid w:val="005F43BB"/>
    <w:rsid w:val="005F548C"/>
    <w:rsid w:val="00601EE3"/>
    <w:rsid w:val="00603E6F"/>
    <w:rsid w:val="00604DCD"/>
    <w:rsid w:val="0061324B"/>
    <w:rsid w:val="00615115"/>
    <w:rsid w:val="00616D11"/>
    <w:rsid w:val="00620DA1"/>
    <w:rsid w:val="00625CF0"/>
    <w:rsid w:val="00626397"/>
    <w:rsid w:val="006265A6"/>
    <w:rsid w:val="006300C3"/>
    <w:rsid w:val="006339C5"/>
    <w:rsid w:val="00633F5F"/>
    <w:rsid w:val="00640FF6"/>
    <w:rsid w:val="006412A8"/>
    <w:rsid w:val="00642978"/>
    <w:rsid w:val="00642D76"/>
    <w:rsid w:val="00644061"/>
    <w:rsid w:val="00650808"/>
    <w:rsid w:val="00650ECE"/>
    <w:rsid w:val="006526C8"/>
    <w:rsid w:val="0065542E"/>
    <w:rsid w:val="00660ADD"/>
    <w:rsid w:val="006634F1"/>
    <w:rsid w:val="00663F24"/>
    <w:rsid w:val="006652B3"/>
    <w:rsid w:val="00665D5E"/>
    <w:rsid w:val="00670FB6"/>
    <w:rsid w:val="00676752"/>
    <w:rsid w:val="00677963"/>
    <w:rsid w:val="006844CC"/>
    <w:rsid w:val="0069131F"/>
    <w:rsid w:val="006A06EF"/>
    <w:rsid w:val="006A2341"/>
    <w:rsid w:val="006A2AD7"/>
    <w:rsid w:val="006A2B86"/>
    <w:rsid w:val="006A5A08"/>
    <w:rsid w:val="006A63BD"/>
    <w:rsid w:val="006B12DD"/>
    <w:rsid w:val="006B37A5"/>
    <w:rsid w:val="006B4AAD"/>
    <w:rsid w:val="006C11D1"/>
    <w:rsid w:val="006C28DF"/>
    <w:rsid w:val="006C5331"/>
    <w:rsid w:val="006C5508"/>
    <w:rsid w:val="006C6393"/>
    <w:rsid w:val="006D0494"/>
    <w:rsid w:val="006D07DF"/>
    <w:rsid w:val="006D1DB0"/>
    <w:rsid w:val="006D36D8"/>
    <w:rsid w:val="006D6D69"/>
    <w:rsid w:val="006D6D96"/>
    <w:rsid w:val="006E2E0C"/>
    <w:rsid w:val="006F0E36"/>
    <w:rsid w:val="0070147B"/>
    <w:rsid w:val="00702685"/>
    <w:rsid w:val="007036B9"/>
    <w:rsid w:val="00704619"/>
    <w:rsid w:val="00710366"/>
    <w:rsid w:val="007110C1"/>
    <w:rsid w:val="00711383"/>
    <w:rsid w:val="00711B47"/>
    <w:rsid w:val="00717D2A"/>
    <w:rsid w:val="0072243D"/>
    <w:rsid w:val="007236C3"/>
    <w:rsid w:val="00724F48"/>
    <w:rsid w:val="0073065D"/>
    <w:rsid w:val="007323B8"/>
    <w:rsid w:val="00734825"/>
    <w:rsid w:val="00740ED7"/>
    <w:rsid w:val="007423B1"/>
    <w:rsid w:val="00742601"/>
    <w:rsid w:val="007456C5"/>
    <w:rsid w:val="007467A7"/>
    <w:rsid w:val="00746FCB"/>
    <w:rsid w:val="00750A98"/>
    <w:rsid w:val="0075365D"/>
    <w:rsid w:val="00755C09"/>
    <w:rsid w:val="00756D8D"/>
    <w:rsid w:val="007628DE"/>
    <w:rsid w:val="0076598E"/>
    <w:rsid w:val="007666F5"/>
    <w:rsid w:val="00766A0E"/>
    <w:rsid w:val="00766DB2"/>
    <w:rsid w:val="00773708"/>
    <w:rsid w:val="007774B5"/>
    <w:rsid w:val="00777BAD"/>
    <w:rsid w:val="00780FBD"/>
    <w:rsid w:val="00784B05"/>
    <w:rsid w:val="007857A0"/>
    <w:rsid w:val="00790482"/>
    <w:rsid w:val="00794E26"/>
    <w:rsid w:val="007A25D6"/>
    <w:rsid w:val="007B41CA"/>
    <w:rsid w:val="007B585E"/>
    <w:rsid w:val="007C0302"/>
    <w:rsid w:val="007C1099"/>
    <w:rsid w:val="007C3AAD"/>
    <w:rsid w:val="007C4ED7"/>
    <w:rsid w:val="007C53F9"/>
    <w:rsid w:val="007C5767"/>
    <w:rsid w:val="007C7F54"/>
    <w:rsid w:val="007D0183"/>
    <w:rsid w:val="007D1C4A"/>
    <w:rsid w:val="007D4994"/>
    <w:rsid w:val="007D5434"/>
    <w:rsid w:val="007D5E7F"/>
    <w:rsid w:val="007E02EB"/>
    <w:rsid w:val="007E0427"/>
    <w:rsid w:val="007E740D"/>
    <w:rsid w:val="007F11B8"/>
    <w:rsid w:val="007F1BF7"/>
    <w:rsid w:val="007F34AD"/>
    <w:rsid w:val="007F3C89"/>
    <w:rsid w:val="007F519E"/>
    <w:rsid w:val="007F7F74"/>
    <w:rsid w:val="00806EB0"/>
    <w:rsid w:val="00816421"/>
    <w:rsid w:val="00816909"/>
    <w:rsid w:val="00816B2C"/>
    <w:rsid w:val="00820366"/>
    <w:rsid w:val="00830D2A"/>
    <w:rsid w:val="00830E68"/>
    <w:rsid w:val="00836055"/>
    <w:rsid w:val="008433F6"/>
    <w:rsid w:val="008439F3"/>
    <w:rsid w:val="00844AB7"/>
    <w:rsid w:val="008477EE"/>
    <w:rsid w:val="00850FF8"/>
    <w:rsid w:val="008526B1"/>
    <w:rsid w:val="008530A7"/>
    <w:rsid w:val="0086107C"/>
    <w:rsid w:val="00864304"/>
    <w:rsid w:val="00864398"/>
    <w:rsid w:val="00867EB6"/>
    <w:rsid w:val="00870568"/>
    <w:rsid w:val="00870CAB"/>
    <w:rsid w:val="00872AA9"/>
    <w:rsid w:val="00875B5D"/>
    <w:rsid w:val="00876453"/>
    <w:rsid w:val="00880B64"/>
    <w:rsid w:val="00883006"/>
    <w:rsid w:val="0089031A"/>
    <w:rsid w:val="008A5068"/>
    <w:rsid w:val="008A64B8"/>
    <w:rsid w:val="008A7601"/>
    <w:rsid w:val="008B1E85"/>
    <w:rsid w:val="008B2E39"/>
    <w:rsid w:val="008B408A"/>
    <w:rsid w:val="008B5F30"/>
    <w:rsid w:val="008C0D16"/>
    <w:rsid w:val="008C126D"/>
    <w:rsid w:val="008C28DE"/>
    <w:rsid w:val="008C4180"/>
    <w:rsid w:val="008C4EF8"/>
    <w:rsid w:val="008C590D"/>
    <w:rsid w:val="008D2FB2"/>
    <w:rsid w:val="008E0208"/>
    <w:rsid w:val="008E0AC3"/>
    <w:rsid w:val="008E6C6A"/>
    <w:rsid w:val="008E7B76"/>
    <w:rsid w:val="008F15EA"/>
    <w:rsid w:val="008F415E"/>
    <w:rsid w:val="008F5574"/>
    <w:rsid w:val="008F5AE4"/>
    <w:rsid w:val="008F609E"/>
    <w:rsid w:val="00902D0C"/>
    <w:rsid w:val="00904E27"/>
    <w:rsid w:val="00922CCF"/>
    <w:rsid w:val="00927C19"/>
    <w:rsid w:val="00930EEF"/>
    <w:rsid w:val="00931F72"/>
    <w:rsid w:val="00933188"/>
    <w:rsid w:val="00933A42"/>
    <w:rsid w:val="00934579"/>
    <w:rsid w:val="00935911"/>
    <w:rsid w:val="0094258F"/>
    <w:rsid w:val="009426BE"/>
    <w:rsid w:val="00942FE6"/>
    <w:rsid w:val="0094786D"/>
    <w:rsid w:val="00947A93"/>
    <w:rsid w:val="009556BE"/>
    <w:rsid w:val="00955CEC"/>
    <w:rsid w:val="00955D26"/>
    <w:rsid w:val="0096243E"/>
    <w:rsid w:val="009642F9"/>
    <w:rsid w:val="009677DE"/>
    <w:rsid w:val="00970424"/>
    <w:rsid w:val="00974B01"/>
    <w:rsid w:val="00980B74"/>
    <w:rsid w:val="00980FF3"/>
    <w:rsid w:val="00985A94"/>
    <w:rsid w:val="009878DE"/>
    <w:rsid w:val="009909D8"/>
    <w:rsid w:val="00992544"/>
    <w:rsid w:val="009941B7"/>
    <w:rsid w:val="00996B7D"/>
    <w:rsid w:val="00996EF4"/>
    <w:rsid w:val="00997FCB"/>
    <w:rsid w:val="009A0273"/>
    <w:rsid w:val="009A0FAC"/>
    <w:rsid w:val="009A15C7"/>
    <w:rsid w:val="009A5EC1"/>
    <w:rsid w:val="009A618E"/>
    <w:rsid w:val="009A6AC4"/>
    <w:rsid w:val="009A7547"/>
    <w:rsid w:val="009C04C5"/>
    <w:rsid w:val="009C2F2A"/>
    <w:rsid w:val="009C3D0D"/>
    <w:rsid w:val="009C3D75"/>
    <w:rsid w:val="009C5B52"/>
    <w:rsid w:val="009D0382"/>
    <w:rsid w:val="009D1458"/>
    <w:rsid w:val="009D34FA"/>
    <w:rsid w:val="009D3D89"/>
    <w:rsid w:val="009D42AF"/>
    <w:rsid w:val="009D7D0D"/>
    <w:rsid w:val="009E5FF1"/>
    <w:rsid w:val="009F05D8"/>
    <w:rsid w:val="009F3249"/>
    <w:rsid w:val="009F396F"/>
    <w:rsid w:val="009F3EF6"/>
    <w:rsid w:val="009F5355"/>
    <w:rsid w:val="009F693B"/>
    <w:rsid w:val="009F7155"/>
    <w:rsid w:val="00A01E34"/>
    <w:rsid w:val="00A04CC0"/>
    <w:rsid w:val="00A10229"/>
    <w:rsid w:val="00A11550"/>
    <w:rsid w:val="00A15499"/>
    <w:rsid w:val="00A17DB7"/>
    <w:rsid w:val="00A23A87"/>
    <w:rsid w:val="00A23D88"/>
    <w:rsid w:val="00A2523B"/>
    <w:rsid w:val="00A26675"/>
    <w:rsid w:val="00A3320D"/>
    <w:rsid w:val="00A34108"/>
    <w:rsid w:val="00A341C5"/>
    <w:rsid w:val="00A3463A"/>
    <w:rsid w:val="00A44AB7"/>
    <w:rsid w:val="00A4570E"/>
    <w:rsid w:val="00A51FF7"/>
    <w:rsid w:val="00A56812"/>
    <w:rsid w:val="00A601D3"/>
    <w:rsid w:val="00A621DE"/>
    <w:rsid w:val="00A641AF"/>
    <w:rsid w:val="00A67EE5"/>
    <w:rsid w:val="00A7042D"/>
    <w:rsid w:val="00A70E6B"/>
    <w:rsid w:val="00A726BB"/>
    <w:rsid w:val="00A74023"/>
    <w:rsid w:val="00A82936"/>
    <w:rsid w:val="00A908FE"/>
    <w:rsid w:val="00A931AC"/>
    <w:rsid w:val="00A9628B"/>
    <w:rsid w:val="00AA126C"/>
    <w:rsid w:val="00AA1935"/>
    <w:rsid w:val="00AA3287"/>
    <w:rsid w:val="00AA36FA"/>
    <w:rsid w:val="00AA6FE2"/>
    <w:rsid w:val="00AB0721"/>
    <w:rsid w:val="00AB09BD"/>
    <w:rsid w:val="00AC133E"/>
    <w:rsid w:val="00AC20C6"/>
    <w:rsid w:val="00AC2265"/>
    <w:rsid w:val="00AD1023"/>
    <w:rsid w:val="00AD13CF"/>
    <w:rsid w:val="00AD44C9"/>
    <w:rsid w:val="00AE35BB"/>
    <w:rsid w:val="00AE5353"/>
    <w:rsid w:val="00AE577C"/>
    <w:rsid w:val="00AE7C20"/>
    <w:rsid w:val="00AF4C55"/>
    <w:rsid w:val="00AF5A40"/>
    <w:rsid w:val="00B03AEF"/>
    <w:rsid w:val="00B04F83"/>
    <w:rsid w:val="00B055F0"/>
    <w:rsid w:val="00B065C8"/>
    <w:rsid w:val="00B10F96"/>
    <w:rsid w:val="00B147B1"/>
    <w:rsid w:val="00B14C54"/>
    <w:rsid w:val="00B21687"/>
    <w:rsid w:val="00B2289A"/>
    <w:rsid w:val="00B23B9E"/>
    <w:rsid w:val="00B25E25"/>
    <w:rsid w:val="00B302BE"/>
    <w:rsid w:val="00B30347"/>
    <w:rsid w:val="00B30DC8"/>
    <w:rsid w:val="00B31A5D"/>
    <w:rsid w:val="00B336F2"/>
    <w:rsid w:val="00B372E6"/>
    <w:rsid w:val="00B45C34"/>
    <w:rsid w:val="00B46ED7"/>
    <w:rsid w:val="00B530EA"/>
    <w:rsid w:val="00B54899"/>
    <w:rsid w:val="00B554CA"/>
    <w:rsid w:val="00B56A51"/>
    <w:rsid w:val="00B6184F"/>
    <w:rsid w:val="00B623F2"/>
    <w:rsid w:val="00B66D82"/>
    <w:rsid w:val="00B67AC8"/>
    <w:rsid w:val="00B75AE7"/>
    <w:rsid w:val="00B77110"/>
    <w:rsid w:val="00B81D83"/>
    <w:rsid w:val="00B92B7C"/>
    <w:rsid w:val="00B959B3"/>
    <w:rsid w:val="00BC1CDA"/>
    <w:rsid w:val="00BC2ADE"/>
    <w:rsid w:val="00BC3BB6"/>
    <w:rsid w:val="00BC4BF7"/>
    <w:rsid w:val="00BD1EF4"/>
    <w:rsid w:val="00BD20DD"/>
    <w:rsid w:val="00BD24D8"/>
    <w:rsid w:val="00BD3F1C"/>
    <w:rsid w:val="00BD4693"/>
    <w:rsid w:val="00BE4103"/>
    <w:rsid w:val="00BF04B4"/>
    <w:rsid w:val="00BF0742"/>
    <w:rsid w:val="00BF19A2"/>
    <w:rsid w:val="00BF55EC"/>
    <w:rsid w:val="00C03509"/>
    <w:rsid w:val="00C05777"/>
    <w:rsid w:val="00C100D2"/>
    <w:rsid w:val="00C107D4"/>
    <w:rsid w:val="00C16AD2"/>
    <w:rsid w:val="00C21C63"/>
    <w:rsid w:val="00C2575F"/>
    <w:rsid w:val="00C302FF"/>
    <w:rsid w:val="00C312D7"/>
    <w:rsid w:val="00C43659"/>
    <w:rsid w:val="00C43921"/>
    <w:rsid w:val="00C52BD2"/>
    <w:rsid w:val="00C52C81"/>
    <w:rsid w:val="00C52F7F"/>
    <w:rsid w:val="00C53A6B"/>
    <w:rsid w:val="00C53AE6"/>
    <w:rsid w:val="00C53D1A"/>
    <w:rsid w:val="00C60DE8"/>
    <w:rsid w:val="00C6520E"/>
    <w:rsid w:val="00C65EAC"/>
    <w:rsid w:val="00C67DC8"/>
    <w:rsid w:val="00C71518"/>
    <w:rsid w:val="00C74027"/>
    <w:rsid w:val="00C80EDC"/>
    <w:rsid w:val="00C8157C"/>
    <w:rsid w:val="00C829F0"/>
    <w:rsid w:val="00C8390B"/>
    <w:rsid w:val="00C845A6"/>
    <w:rsid w:val="00C952D7"/>
    <w:rsid w:val="00CA118D"/>
    <w:rsid w:val="00CA525B"/>
    <w:rsid w:val="00CA5652"/>
    <w:rsid w:val="00CA6387"/>
    <w:rsid w:val="00CA724C"/>
    <w:rsid w:val="00CB05F8"/>
    <w:rsid w:val="00CB4C5B"/>
    <w:rsid w:val="00CC183E"/>
    <w:rsid w:val="00CC1F9D"/>
    <w:rsid w:val="00CC48FF"/>
    <w:rsid w:val="00CD2B89"/>
    <w:rsid w:val="00CD4CD7"/>
    <w:rsid w:val="00CE0B30"/>
    <w:rsid w:val="00CE0F3E"/>
    <w:rsid w:val="00CE18E1"/>
    <w:rsid w:val="00CE61E1"/>
    <w:rsid w:val="00CE7CAC"/>
    <w:rsid w:val="00CF18B1"/>
    <w:rsid w:val="00CF2F80"/>
    <w:rsid w:val="00CF3B0F"/>
    <w:rsid w:val="00CF50DC"/>
    <w:rsid w:val="00D00749"/>
    <w:rsid w:val="00D03E45"/>
    <w:rsid w:val="00D050B7"/>
    <w:rsid w:val="00D1499B"/>
    <w:rsid w:val="00D14E4F"/>
    <w:rsid w:val="00D15FAE"/>
    <w:rsid w:val="00D1618F"/>
    <w:rsid w:val="00D1661C"/>
    <w:rsid w:val="00D363D4"/>
    <w:rsid w:val="00D41021"/>
    <w:rsid w:val="00D42843"/>
    <w:rsid w:val="00D44CFB"/>
    <w:rsid w:val="00D45393"/>
    <w:rsid w:val="00D46D64"/>
    <w:rsid w:val="00D50B52"/>
    <w:rsid w:val="00D50F80"/>
    <w:rsid w:val="00D54305"/>
    <w:rsid w:val="00D60D12"/>
    <w:rsid w:val="00D62A29"/>
    <w:rsid w:val="00D70D92"/>
    <w:rsid w:val="00D71669"/>
    <w:rsid w:val="00D72E09"/>
    <w:rsid w:val="00D738F5"/>
    <w:rsid w:val="00D74050"/>
    <w:rsid w:val="00D751EF"/>
    <w:rsid w:val="00D77B03"/>
    <w:rsid w:val="00D84514"/>
    <w:rsid w:val="00D9094C"/>
    <w:rsid w:val="00D90989"/>
    <w:rsid w:val="00D9359D"/>
    <w:rsid w:val="00D93990"/>
    <w:rsid w:val="00D954D9"/>
    <w:rsid w:val="00DA1856"/>
    <w:rsid w:val="00DA2322"/>
    <w:rsid w:val="00DA2801"/>
    <w:rsid w:val="00DA61D6"/>
    <w:rsid w:val="00DB07B5"/>
    <w:rsid w:val="00DB287B"/>
    <w:rsid w:val="00DB57E3"/>
    <w:rsid w:val="00DB5AA1"/>
    <w:rsid w:val="00DB6EE9"/>
    <w:rsid w:val="00DB71E1"/>
    <w:rsid w:val="00DC329A"/>
    <w:rsid w:val="00DC7D90"/>
    <w:rsid w:val="00DD3881"/>
    <w:rsid w:val="00DD3C7E"/>
    <w:rsid w:val="00DD3FC7"/>
    <w:rsid w:val="00DD555E"/>
    <w:rsid w:val="00DE0BEF"/>
    <w:rsid w:val="00DF4192"/>
    <w:rsid w:val="00DF529E"/>
    <w:rsid w:val="00DF6671"/>
    <w:rsid w:val="00E02DD7"/>
    <w:rsid w:val="00E046A1"/>
    <w:rsid w:val="00E1367C"/>
    <w:rsid w:val="00E13C61"/>
    <w:rsid w:val="00E15E84"/>
    <w:rsid w:val="00E161A4"/>
    <w:rsid w:val="00E17FFB"/>
    <w:rsid w:val="00E21D15"/>
    <w:rsid w:val="00E21DD3"/>
    <w:rsid w:val="00E22CFB"/>
    <w:rsid w:val="00E265C8"/>
    <w:rsid w:val="00E27884"/>
    <w:rsid w:val="00E35F81"/>
    <w:rsid w:val="00E36F84"/>
    <w:rsid w:val="00E37D94"/>
    <w:rsid w:val="00E43BFF"/>
    <w:rsid w:val="00E50121"/>
    <w:rsid w:val="00E5278B"/>
    <w:rsid w:val="00E53ECB"/>
    <w:rsid w:val="00E604D9"/>
    <w:rsid w:val="00E6133C"/>
    <w:rsid w:val="00E625D3"/>
    <w:rsid w:val="00E62F43"/>
    <w:rsid w:val="00E64E76"/>
    <w:rsid w:val="00E66EA6"/>
    <w:rsid w:val="00E6740D"/>
    <w:rsid w:val="00E75D6C"/>
    <w:rsid w:val="00E776A7"/>
    <w:rsid w:val="00E8117D"/>
    <w:rsid w:val="00E8189F"/>
    <w:rsid w:val="00E848A9"/>
    <w:rsid w:val="00E853F6"/>
    <w:rsid w:val="00E85B5B"/>
    <w:rsid w:val="00E90A5B"/>
    <w:rsid w:val="00E96AC5"/>
    <w:rsid w:val="00EA12FF"/>
    <w:rsid w:val="00EA1F89"/>
    <w:rsid w:val="00EA30DB"/>
    <w:rsid w:val="00EA3671"/>
    <w:rsid w:val="00EA3846"/>
    <w:rsid w:val="00EA57BF"/>
    <w:rsid w:val="00EA6A1F"/>
    <w:rsid w:val="00EA7400"/>
    <w:rsid w:val="00EA780A"/>
    <w:rsid w:val="00EB1F1C"/>
    <w:rsid w:val="00EB6DCD"/>
    <w:rsid w:val="00EB6DE6"/>
    <w:rsid w:val="00EC0789"/>
    <w:rsid w:val="00EC48B9"/>
    <w:rsid w:val="00EC696E"/>
    <w:rsid w:val="00ED4C12"/>
    <w:rsid w:val="00ED5ED0"/>
    <w:rsid w:val="00EE15D0"/>
    <w:rsid w:val="00EE193B"/>
    <w:rsid w:val="00EE2F50"/>
    <w:rsid w:val="00EE382E"/>
    <w:rsid w:val="00EE751B"/>
    <w:rsid w:val="00EF28EC"/>
    <w:rsid w:val="00EF53D0"/>
    <w:rsid w:val="00F01B88"/>
    <w:rsid w:val="00F16C95"/>
    <w:rsid w:val="00F2007D"/>
    <w:rsid w:val="00F258CE"/>
    <w:rsid w:val="00F2686D"/>
    <w:rsid w:val="00F305C1"/>
    <w:rsid w:val="00F36152"/>
    <w:rsid w:val="00F36AFE"/>
    <w:rsid w:val="00F370C3"/>
    <w:rsid w:val="00F422EC"/>
    <w:rsid w:val="00F44894"/>
    <w:rsid w:val="00F46473"/>
    <w:rsid w:val="00F50205"/>
    <w:rsid w:val="00F51461"/>
    <w:rsid w:val="00F51A04"/>
    <w:rsid w:val="00F54CA2"/>
    <w:rsid w:val="00F556F5"/>
    <w:rsid w:val="00F6381D"/>
    <w:rsid w:val="00F63B73"/>
    <w:rsid w:val="00F64246"/>
    <w:rsid w:val="00F651B4"/>
    <w:rsid w:val="00F66D53"/>
    <w:rsid w:val="00F66E49"/>
    <w:rsid w:val="00F7429D"/>
    <w:rsid w:val="00F748E8"/>
    <w:rsid w:val="00F76B81"/>
    <w:rsid w:val="00F7796D"/>
    <w:rsid w:val="00F846F6"/>
    <w:rsid w:val="00F873CE"/>
    <w:rsid w:val="00FA42C5"/>
    <w:rsid w:val="00FA6530"/>
    <w:rsid w:val="00FA681B"/>
    <w:rsid w:val="00FB58BB"/>
    <w:rsid w:val="00FB6496"/>
    <w:rsid w:val="00FB6517"/>
    <w:rsid w:val="00FB7D8D"/>
    <w:rsid w:val="00FC0BD9"/>
    <w:rsid w:val="00FC1637"/>
    <w:rsid w:val="00FC1ABE"/>
    <w:rsid w:val="00FC2F39"/>
    <w:rsid w:val="00FC4A56"/>
    <w:rsid w:val="00FC66E0"/>
    <w:rsid w:val="00FC6A8E"/>
    <w:rsid w:val="00FC7577"/>
    <w:rsid w:val="00FC7E04"/>
    <w:rsid w:val="00FD2428"/>
    <w:rsid w:val="00FD2FBB"/>
    <w:rsid w:val="00FD3884"/>
    <w:rsid w:val="00FD4B81"/>
    <w:rsid w:val="00FD6AEA"/>
    <w:rsid w:val="00FD780F"/>
    <w:rsid w:val="00FE78B6"/>
    <w:rsid w:val="00FF1AB9"/>
    <w:rsid w:val="00FF316E"/>
    <w:rsid w:val="00FF3184"/>
    <w:rsid w:val="00FF3A98"/>
    <w:rsid w:val="00FF4098"/>
    <w:rsid w:val="00FF49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ÁZEV"/>
    <w:qFormat/>
    <w:rsid w:val="00AC2265"/>
    <w:pPr>
      <w:spacing w:before="240" w:after="240" w:line="360" w:lineRule="auto"/>
      <w:jc w:val="center"/>
    </w:pPr>
    <w:rPr>
      <w:caps/>
      <w:sz w:val="52"/>
    </w:rPr>
  </w:style>
  <w:style w:type="paragraph" w:styleId="Nadpis1">
    <w:name w:val="heading 1"/>
    <w:basedOn w:val="Bezmezer"/>
    <w:next w:val="Bezmezer"/>
    <w:link w:val="Nadpis1Char"/>
    <w:uiPriority w:val="9"/>
    <w:qFormat/>
    <w:rsid w:val="00836055"/>
    <w:pPr>
      <w:keepNext/>
      <w:keepLines/>
      <w:numPr>
        <w:numId w:val="7"/>
      </w:numPr>
      <w:pBdr>
        <w:bottom w:val="single" w:sz="4" w:space="1" w:color="auto"/>
      </w:pBdr>
      <w:tabs>
        <w:tab w:val="left" w:pos="426"/>
      </w:tabs>
      <w:ind w:left="431" w:hanging="431"/>
      <w:jc w:val="center"/>
      <w:outlineLvl w:val="0"/>
    </w:pPr>
    <w:rPr>
      <w:rFonts w:eastAsiaTheme="majorEastAsia" w:cstheme="majorBidi"/>
      <w:b/>
      <w:bCs/>
      <w:sz w:val="32"/>
      <w:szCs w:val="28"/>
    </w:rPr>
  </w:style>
  <w:style w:type="paragraph" w:styleId="Nadpis2">
    <w:name w:val="heading 2"/>
    <w:basedOn w:val="Bezmezer"/>
    <w:next w:val="Bezmezer"/>
    <w:link w:val="Nadpis2Char"/>
    <w:uiPriority w:val="9"/>
    <w:unhideWhenUsed/>
    <w:qFormat/>
    <w:rsid w:val="0047492A"/>
    <w:pPr>
      <w:keepNext/>
      <w:keepLines/>
      <w:numPr>
        <w:ilvl w:val="1"/>
        <w:numId w:val="7"/>
      </w:numPr>
      <w:spacing w:before="200"/>
      <w:ind w:left="578" w:hanging="578"/>
      <w:outlineLvl w:val="1"/>
    </w:pPr>
    <w:rPr>
      <w:rFonts w:eastAsiaTheme="majorEastAsia" w:cstheme="majorBidi"/>
      <w:bCs/>
      <w:sz w:val="28"/>
      <w:szCs w:val="26"/>
    </w:rPr>
  </w:style>
  <w:style w:type="paragraph" w:styleId="Nadpis3">
    <w:name w:val="heading 3"/>
    <w:basedOn w:val="Bezmezer"/>
    <w:next w:val="Bezmezer"/>
    <w:link w:val="Nadpis3Char"/>
    <w:uiPriority w:val="9"/>
    <w:unhideWhenUsed/>
    <w:qFormat/>
    <w:rsid w:val="00836055"/>
    <w:pPr>
      <w:keepNext/>
      <w:keepLines/>
      <w:numPr>
        <w:ilvl w:val="2"/>
        <w:numId w:val="7"/>
      </w:numPr>
      <w:spacing w:before="200"/>
      <w:ind w:left="0" w:firstLine="0"/>
      <w:outlineLvl w:val="2"/>
    </w:pPr>
    <w:rPr>
      <w:rFonts w:eastAsiaTheme="majorEastAsia" w:cstheme="majorBidi"/>
      <w:bCs/>
      <w:caps/>
      <w:sz w:val="24"/>
    </w:rPr>
  </w:style>
  <w:style w:type="paragraph" w:styleId="Nadpis4">
    <w:name w:val="heading 4"/>
    <w:basedOn w:val="Bezmezer"/>
    <w:next w:val="Bezmezer"/>
    <w:link w:val="Nadpis4Char"/>
    <w:uiPriority w:val="9"/>
    <w:unhideWhenUsed/>
    <w:qFormat/>
    <w:rsid w:val="00836055"/>
    <w:pPr>
      <w:keepNext/>
      <w:keepLines/>
      <w:numPr>
        <w:ilvl w:val="3"/>
        <w:numId w:val="7"/>
      </w:numPr>
      <w:spacing w:before="160"/>
      <w:ind w:left="0" w:firstLine="0"/>
      <w:outlineLvl w:val="3"/>
    </w:pPr>
    <w:rPr>
      <w:rFonts w:eastAsiaTheme="majorEastAsia" w:cstheme="majorBidi"/>
      <w:b/>
      <w:bCs/>
      <w:iCs/>
    </w:rPr>
  </w:style>
  <w:style w:type="paragraph" w:styleId="Nadpis5">
    <w:name w:val="heading 5"/>
    <w:aliases w:val="tabulka,obrázeknázev"/>
    <w:basedOn w:val="Normln"/>
    <w:next w:val="Normln"/>
    <w:link w:val="Nadpis5Char"/>
    <w:uiPriority w:val="9"/>
    <w:unhideWhenUsed/>
    <w:qFormat/>
    <w:rsid w:val="00E604D9"/>
    <w:pPr>
      <w:keepNext/>
      <w:keepLines/>
      <w:spacing w:before="120" w:after="0"/>
      <w:jc w:val="both"/>
      <w:outlineLvl w:val="4"/>
    </w:pPr>
    <w:rPr>
      <w:rFonts w:eastAsiaTheme="majorEastAsia" w:cstheme="majorBidi"/>
      <w:i/>
      <w:caps w:val="0"/>
      <w:sz w:val="22"/>
    </w:rPr>
  </w:style>
  <w:style w:type="paragraph" w:styleId="Nadpis6">
    <w:name w:val="heading 6"/>
    <w:basedOn w:val="Normln"/>
    <w:next w:val="Normln"/>
    <w:link w:val="Nadpis6Char"/>
    <w:uiPriority w:val="9"/>
    <w:unhideWhenUsed/>
    <w:qFormat/>
    <w:rsid w:val="006265A6"/>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6265A6"/>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265A6"/>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265A6"/>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ext"/>
    <w:uiPriority w:val="1"/>
    <w:qFormat/>
    <w:rsid w:val="0047492A"/>
    <w:pPr>
      <w:spacing w:before="120" w:after="120"/>
      <w:jc w:val="both"/>
    </w:pPr>
  </w:style>
  <w:style w:type="character" w:customStyle="1" w:styleId="Nadpis1Char">
    <w:name w:val="Nadpis 1 Char"/>
    <w:basedOn w:val="Standardnpsmoodstavce"/>
    <w:link w:val="Nadpis1"/>
    <w:uiPriority w:val="9"/>
    <w:rsid w:val="00836055"/>
    <w:rPr>
      <w:rFonts w:eastAsiaTheme="majorEastAsia" w:cstheme="majorBidi"/>
      <w:b/>
      <w:bCs/>
      <w:sz w:val="32"/>
      <w:szCs w:val="28"/>
    </w:rPr>
  </w:style>
  <w:style w:type="character" w:customStyle="1" w:styleId="Nadpis2Char">
    <w:name w:val="Nadpis 2 Char"/>
    <w:basedOn w:val="Standardnpsmoodstavce"/>
    <w:link w:val="Nadpis2"/>
    <w:uiPriority w:val="9"/>
    <w:rsid w:val="0047492A"/>
    <w:rPr>
      <w:rFonts w:eastAsiaTheme="majorEastAsia" w:cstheme="majorBidi"/>
      <w:bCs/>
      <w:sz w:val="28"/>
      <w:szCs w:val="26"/>
    </w:rPr>
  </w:style>
  <w:style w:type="character" w:customStyle="1" w:styleId="Nadpis3Char">
    <w:name w:val="Nadpis 3 Char"/>
    <w:basedOn w:val="Standardnpsmoodstavce"/>
    <w:link w:val="Nadpis3"/>
    <w:uiPriority w:val="9"/>
    <w:rsid w:val="00836055"/>
    <w:rPr>
      <w:rFonts w:eastAsiaTheme="majorEastAsia" w:cstheme="majorBidi"/>
      <w:bCs/>
      <w:caps/>
      <w:sz w:val="24"/>
    </w:rPr>
  </w:style>
  <w:style w:type="paragraph" w:styleId="Zhlav">
    <w:name w:val="header"/>
    <w:basedOn w:val="Normln"/>
    <w:link w:val="ZhlavChar"/>
    <w:uiPriority w:val="99"/>
    <w:semiHidden/>
    <w:unhideWhenUsed/>
    <w:rsid w:val="006300C3"/>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6300C3"/>
    <w:rPr>
      <w:rFonts w:ascii="Helvetica" w:hAnsi="Helvetica"/>
      <w:caps/>
      <w:sz w:val="52"/>
    </w:rPr>
  </w:style>
  <w:style w:type="paragraph" w:styleId="Zpat">
    <w:name w:val="footer"/>
    <w:basedOn w:val="Normln"/>
    <w:link w:val="ZpatChar"/>
    <w:uiPriority w:val="99"/>
    <w:unhideWhenUsed/>
    <w:rsid w:val="006300C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300C3"/>
    <w:rPr>
      <w:rFonts w:ascii="Helvetica" w:hAnsi="Helvetica"/>
      <w:caps/>
      <w:sz w:val="52"/>
    </w:rPr>
  </w:style>
  <w:style w:type="paragraph" w:styleId="Nadpisobsahu">
    <w:name w:val="TOC Heading"/>
    <w:basedOn w:val="Nadpis1"/>
    <w:next w:val="Normln"/>
    <w:uiPriority w:val="39"/>
    <w:unhideWhenUsed/>
    <w:qFormat/>
    <w:rsid w:val="007C1099"/>
    <w:pPr>
      <w:numPr>
        <w:numId w:val="0"/>
      </w:numPr>
      <w:pBdr>
        <w:bottom w:val="none" w:sz="0" w:space="0" w:color="auto"/>
      </w:pBdr>
      <w:spacing w:before="480" w:after="0"/>
      <w:jc w:val="left"/>
      <w:outlineLvl w:val="9"/>
    </w:pPr>
    <w:rPr>
      <w:rFonts w:asciiTheme="majorHAnsi" w:hAnsiTheme="majorHAnsi"/>
      <w:caps/>
      <w:color w:val="365F91" w:themeColor="accent1" w:themeShade="BF"/>
      <w:sz w:val="28"/>
    </w:rPr>
  </w:style>
  <w:style w:type="paragraph" w:styleId="Textbubliny">
    <w:name w:val="Balloon Text"/>
    <w:basedOn w:val="Normln"/>
    <w:link w:val="TextbublinyChar"/>
    <w:uiPriority w:val="99"/>
    <w:semiHidden/>
    <w:unhideWhenUsed/>
    <w:rsid w:val="007C109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1099"/>
    <w:rPr>
      <w:rFonts w:ascii="Tahoma" w:hAnsi="Tahoma" w:cs="Tahoma"/>
      <w:caps/>
      <w:sz w:val="16"/>
      <w:szCs w:val="16"/>
    </w:rPr>
  </w:style>
  <w:style w:type="paragraph" w:styleId="Obsah1">
    <w:name w:val="toc 1"/>
    <w:basedOn w:val="Normln"/>
    <w:next w:val="Normln"/>
    <w:autoRedefine/>
    <w:uiPriority w:val="39"/>
    <w:unhideWhenUsed/>
    <w:qFormat/>
    <w:rsid w:val="00A67EE5"/>
    <w:pPr>
      <w:spacing w:before="0" w:after="0"/>
      <w:jc w:val="left"/>
    </w:pPr>
    <w:rPr>
      <w:caps w:val="0"/>
      <w:sz w:val="22"/>
    </w:rPr>
  </w:style>
  <w:style w:type="paragraph" w:styleId="Obsah2">
    <w:name w:val="toc 2"/>
    <w:basedOn w:val="Normln"/>
    <w:next w:val="Normln"/>
    <w:autoRedefine/>
    <w:uiPriority w:val="39"/>
    <w:unhideWhenUsed/>
    <w:qFormat/>
    <w:rsid w:val="00A67EE5"/>
    <w:pPr>
      <w:spacing w:before="0" w:after="0"/>
      <w:jc w:val="left"/>
    </w:pPr>
    <w:rPr>
      <w:caps w:val="0"/>
      <w:sz w:val="22"/>
    </w:rPr>
  </w:style>
  <w:style w:type="character" w:styleId="Hypertextovodkaz">
    <w:name w:val="Hyperlink"/>
    <w:basedOn w:val="Standardnpsmoodstavce"/>
    <w:uiPriority w:val="99"/>
    <w:unhideWhenUsed/>
    <w:rsid w:val="00A67EE5"/>
    <w:rPr>
      <w:color w:val="0000FF" w:themeColor="hyperlink"/>
      <w:u w:val="single"/>
    </w:rPr>
  </w:style>
  <w:style w:type="paragraph" w:styleId="Obsah3">
    <w:name w:val="toc 3"/>
    <w:basedOn w:val="Normln"/>
    <w:next w:val="Normln"/>
    <w:autoRedefine/>
    <w:uiPriority w:val="39"/>
    <w:unhideWhenUsed/>
    <w:qFormat/>
    <w:rsid w:val="00A67EE5"/>
    <w:pPr>
      <w:spacing w:before="0" w:after="0" w:line="276" w:lineRule="auto"/>
      <w:jc w:val="left"/>
    </w:pPr>
    <w:rPr>
      <w:rFonts w:eastAsiaTheme="minorEastAsia"/>
      <w:caps w:val="0"/>
      <w:sz w:val="22"/>
    </w:rPr>
  </w:style>
  <w:style w:type="paragraph" w:styleId="Odstavecseseznamem">
    <w:name w:val="List Paragraph"/>
    <w:basedOn w:val="Normln"/>
    <w:uiPriority w:val="34"/>
    <w:qFormat/>
    <w:rsid w:val="0029300A"/>
    <w:pPr>
      <w:ind w:left="720"/>
      <w:contextualSpacing/>
    </w:pPr>
  </w:style>
  <w:style w:type="paragraph" w:styleId="Obsah4">
    <w:name w:val="toc 4"/>
    <w:basedOn w:val="Normln"/>
    <w:next w:val="Normln"/>
    <w:autoRedefine/>
    <w:uiPriority w:val="39"/>
    <w:unhideWhenUsed/>
    <w:rsid w:val="00A67EE5"/>
    <w:pPr>
      <w:spacing w:before="0" w:after="0"/>
      <w:jc w:val="left"/>
    </w:pPr>
    <w:rPr>
      <w:caps w:val="0"/>
      <w:sz w:val="22"/>
    </w:rPr>
  </w:style>
  <w:style w:type="character" w:customStyle="1" w:styleId="Nadpis4Char">
    <w:name w:val="Nadpis 4 Char"/>
    <w:basedOn w:val="Standardnpsmoodstavce"/>
    <w:link w:val="Nadpis4"/>
    <w:uiPriority w:val="9"/>
    <w:rsid w:val="00836055"/>
    <w:rPr>
      <w:rFonts w:eastAsiaTheme="majorEastAsia" w:cstheme="majorBidi"/>
      <w:b/>
      <w:bCs/>
      <w:iCs/>
    </w:rPr>
  </w:style>
  <w:style w:type="character" w:customStyle="1" w:styleId="Nadpis5Char">
    <w:name w:val="Nadpis 5 Char"/>
    <w:aliases w:val="tabulka Char,obrázeknázev Char"/>
    <w:basedOn w:val="Standardnpsmoodstavce"/>
    <w:link w:val="Nadpis5"/>
    <w:uiPriority w:val="9"/>
    <w:rsid w:val="00E604D9"/>
    <w:rPr>
      <w:rFonts w:eastAsiaTheme="majorEastAsia" w:cstheme="majorBidi"/>
      <w:i/>
    </w:rPr>
  </w:style>
  <w:style w:type="character" w:customStyle="1" w:styleId="Nadpis6Char">
    <w:name w:val="Nadpis 6 Char"/>
    <w:basedOn w:val="Standardnpsmoodstavce"/>
    <w:link w:val="Nadpis6"/>
    <w:uiPriority w:val="9"/>
    <w:rsid w:val="006265A6"/>
    <w:rPr>
      <w:rFonts w:asciiTheme="majorHAnsi" w:eastAsiaTheme="majorEastAsia" w:hAnsiTheme="majorHAnsi" w:cstheme="majorBidi"/>
      <w:i/>
      <w:iCs/>
      <w:caps/>
      <w:color w:val="243F60" w:themeColor="accent1" w:themeShade="7F"/>
      <w:sz w:val="52"/>
    </w:rPr>
  </w:style>
  <w:style w:type="character" w:customStyle="1" w:styleId="Nadpis7Char">
    <w:name w:val="Nadpis 7 Char"/>
    <w:basedOn w:val="Standardnpsmoodstavce"/>
    <w:link w:val="Nadpis7"/>
    <w:uiPriority w:val="9"/>
    <w:rsid w:val="006265A6"/>
    <w:rPr>
      <w:rFonts w:asciiTheme="majorHAnsi" w:eastAsiaTheme="majorEastAsia" w:hAnsiTheme="majorHAnsi" w:cstheme="majorBidi"/>
      <w:i/>
      <w:iCs/>
      <w:caps/>
      <w:color w:val="404040" w:themeColor="text1" w:themeTint="BF"/>
      <w:sz w:val="52"/>
    </w:rPr>
  </w:style>
  <w:style w:type="character" w:customStyle="1" w:styleId="Nadpis8Char">
    <w:name w:val="Nadpis 8 Char"/>
    <w:basedOn w:val="Standardnpsmoodstavce"/>
    <w:link w:val="Nadpis8"/>
    <w:uiPriority w:val="9"/>
    <w:semiHidden/>
    <w:rsid w:val="006265A6"/>
    <w:rPr>
      <w:rFonts w:asciiTheme="majorHAnsi" w:eastAsiaTheme="majorEastAsia" w:hAnsiTheme="majorHAnsi" w:cstheme="majorBidi"/>
      <w:caps/>
      <w:color w:val="404040" w:themeColor="text1" w:themeTint="BF"/>
      <w:sz w:val="20"/>
      <w:szCs w:val="20"/>
    </w:rPr>
  </w:style>
  <w:style w:type="character" w:customStyle="1" w:styleId="Nadpis9Char">
    <w:name w:val="Nadpis 9 Char"/>
    <w:basedOn w:val="Standardnpsmoodstavce"/>
    <w:link w:val="Nadpis9"/>
    <w:uiPriority w:val="9"/>
    <w:semiHidden/>
    <w:rsid w:val="006265A6"/>
    <w:rPr>
      <w:rFonts w:asciiTheme="majorHAnsi" w:eastAsiaTheme="majorEastAsia" w:hAnsiTheme="majorHAnsi" w:cstheme="majorBidi"/>
      <w:i/>
      <w:iCs/>
      <w:caps/>
      <w:color w:val="404040" w:themeColor="text1" w:themeTint="BF"/>
      <w:sz w:val="20"/>
      <w:szCs w:val="20"/>
    </w:rPr>
  </w:style>
  <w:style w:type="table" w:styleId="Mkatabulky">
    <w:name w:val="Table Grid"/>
    <w:basedOn w:val="Normlntabulka"/>
    <w:uiPriority w:val="59"/>
    <w:rsid w:val="00386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aliases w:val="texttabulky"/>
    <w:basedOn w:val="Bezmezer"/>
    <w:next w:val="Bezmezer"/>
    <w:link w:val="NzevChar"/>
    <w:uiPriority w:val="10"/>
    <w:qFormat/>
    <w:rsid w:val="004262BE"/>
    <w:pPr>
      <w:spacing w:before="40" w:after="0" w:line="240" w:lineRule="auto"/>
    </w:pPr>
    <w:rPr>
      <w:rFonts w:eastAsiaTheme="majorEastAsia" w:cstheme="majorBidi"/>
      <w:spacing w:val="5"/>
      <w:kern w:val="28"/>
      <w:sz w:val="18"/>
      <w:szCs w:val="52"/>
    </w:rPr>
  </w:style>
  <w:style w:type="character" w:customStyle="1" w:styleId="NzevChar">
    <w:name w:val="Název Char"/>
    <w:aliases w:val="texttabulky Char"/>
    <w:basedOn w:val="Standardnpsmoodstavce"/>
    <w:link w:val="Nzev"/>
    <w:uiPriority w:val="10"/>
    <w:rsid w:val="004262BE"/>
    <w:rPr>
      <w:rFonts w:eastAsiaTheme="majorEastAsia" w:cstheme="majorBidi"/>
      <w:spacing w:val="5"/>
      <w:kern w:val="28"/>
      <w:sz w:val="18"/>
      <w:szCs w:val="52"/>
    </w:rPr>
  </w:style>
  <w:style w:type="paragraph" w:customStyle="1" w:styleId="Pa13">
    <w:name w:val="Pa13"/>
    <w:basedOn w:val="Normln"/>
    <w:next w:val="Normln"/>
    <w:uiPriority w:val="99"/>
    <w:rsid w:val="00FF49A2"/>
    <w:pPr>
      <w:autoSpaceDE w:val="0"/>
      <w:autoSpaceDN w:val="0"/>
      <w:adjustRightInd w:val="0"/>
      <w:spacing w:before="0" w:after="100" w:line="241" w:lineRule="atLeast"/>
      <w:jc w:val="left"/>
    </w:pPr>
    <w:rPr>
      <w:rFonts w:ascii="Signika" w:hAnsi="Signika"/>
      <w:caps w:val="0"/>
      <w:sz w:val="24"/>
      <w:szCs w:val="24"/>
    </w:rPr>
  </w:style>
</w:styles>
</file>

<file path=word/webSettings.xml><?xml version="1.0" encoding="utf-8"?>
<w:webSettings xmlns:r="http://schemas.openxmlformats.org/officeDocument/2006/relationships" xmlns:w="http://schemas.openxmlformats.org/wordprocessingml/2006/main">
  <w:divs>
    <w:div w:id="23019113">
      <w:bodyDiv w:val="1"/>
      <w:marLeft w:val="0"/>
      <w:marRight w:val="0"/>
      <w:marTop w:val="0"/>
      <w:marBottom w:val="0"/>
      <w:divBdr>
        <w:top w:val="none" w:sz="0" w:space="0" w:color="auto"/>
        <w:left w:val="none" w:sz="0" w:space="0" w:color="auto"/>
        <w:bottom w:val="none" w:sz="0" w:space="0" w:color="auto"/>
        <w:right w:val="none" w:sz="0" w:space="0" w:color="auto"/>
      </w:divBdr>
    </w:div>
    <w:div w:id="122386922">
      <w:bodyDiv w:val="1"/>
      <w:marLeft w:val="0"/>
      <w:marRight w:val="0"/>
      <w:marTop w:val="0"/>
      <w:marBottom w:val="0"/>
      <w:divBdr>
        <w:top w:val="none" w:sz="0" w:space="0" w:color="auto"/>
        <w:left w:val="none" w:sz="0" w:space="0" w:color="auto"/>
        <w:bottom w:val="none" w:sz="0" w:space="0" w:color="auto"/>
        <w:right w:val="none" w:sz="0" w:space="0" w:color="auto"/>
      </w:divBdr>
    </w:div>
    <w:div w:id="214971024">
      <w:bodyDiv w:val="1"/>
      <w:marLeft w:val="0"/>
      <w:marRight w:val="0"/>
      <w:marTop w:val="0"/>
      <w:marBottom w:val="0"/>
      <w:divBdr>
        <w:top w:val="none" w:sz="0" w:space="0" w:color="auto"/>
        <w:left w:val="none" w:sz="0" w:space="0" w:color="auto"/>
        <w:bottom w:val="none" w:sz="0" w:space="0" w:color="auto"/>
        <w:right w:val="none" w:sz="0" w:space="0" w:color="auto"/>
      </w:divBdr>
    </w:div>
    <w:div w:id="240991304">
      <w:bodyDiv w:val="1"/>
      <w:marLeft w:val="0"/>
      <w:marRight w:val="0"/>
      <w:marTop w:val="0"/>
      <w:marBottom w:val="0"/>
      <w:divBdr>
        <w:top w:val="none" w:sz="0" w:space="0" w:color="auto"/>
        <w:left w:val="none" w:sz="0" w:space="0" w:color="auto"/>
        <w:bottom w:val="none" w:sz="0" w:space="0" w:color="auto"/>
        <w:right w:val="none" w:sz="0" w:space="0" w:color="auto"/>
      </w:divBdr>
    </w:div>
    <w:div w:id="424498985">
      <w:bodyDiv w:val="1"/>
      <w:marLeft w:val="0"/>
      <w:marRight w:val="0"/>
      <w:marTop w:val="0"/>
      <w:marBottom w:val="0"/>
      <w:divBdr>
        <w:top w:val="none" w:sz="0" w:space="0" w:color="auto"/>
        <w:left w:val="none" w:sz="0" w:space="0" w:color="auto"/>
        <w:bottom w:val="none" w:sz="0" w:space="0" w:color="auto"/>
        <w:right w:val="none" w:sz="0" w:space="0" w:color="auto"/>
      </w:divBdr>
    </w:div>
    <w:div w:id="477500304">
      <w:bodyDiv w:val="1"/>
      <w:marLeft w:val="0"/>
      <w:marRight w:val="0"/>
      <w:marTop w:val="0"/>
      <w:marBottom w:val="0"/>
      <w:divBdr>
        <w:top w:val="none" w:sz="0" w:space="0" w:color="auto"/>
        <w:left w:val="none" w:sz="0" w:space="0" w:color="auto"/>
        <w:bottom w:val="none" w:sz="0" w:space="0" w:color="auto"/>
        <w:right w:val="none" w:sz="0" w:space="0" w:color="auto"/>
      </w:divBdr>
    </w:div>
    <w:div w:id="493378242">
      <w:bodyDiv w:val="1"/>
      <w:marLeft w:val="0"/>
      <w:marRight w:val="0"/>
      <w:marTop w:val="0"/>
      <w:marBottom w:val="0"/>
      <w:divBdr>
        <w:top w:val="none" w:sz="0" w:space="0" w:color="auto"/>
        <w:left w:val="none" w:sz="0" w:space="0" w:color="auto"/>
        <w:bottom w:val="none" w:sz="0" w:space="0" w:color="auto"/>
        <w:right w:val="none" w:sz="0" w:space="0" w:color="auto"/>
      </w:divBdr>
    </w:div>
    <w:div w:id="618492331">
      <w:bodyDiv w:val="1"/>
      <w:marLeft w:val="0"/>
      <w:marRight w:val="0"/>
      <w:marTop w:val="0"/>
      <w:marBottom w:val="0"/>
      <w:divBdr>
        <w:top w:val="none" w:sz="0" w:space="0" w:color="auto"/>
        <w:left w:val="none" w:sz="0" w:space="0" w:color="auto"/>
        <w:bottom w:val="none" w:sz="0" w:space="0" w:color="auto"/>
        <w:right w:val="none" w:sz="0" w:space="0" w:color="auto"/>
      </w:divBdr>
    </w:div>
    <w:div w:id="632563367">
      <w:bodyDiv w:val="1"/>
      <w:marLeft w:val="0"/>
      <w:marRight w:val="0"/>
      <w:marTop w:val="0"/>
      <w:marBottom w:val="0"/>
      <w:divBdr>
        <w:top w:val="none" w:sz="0" w:space="0" w:color="auto"/>
        <w:left w:val="none" w:sz="0" w:space="0" w:color="auto"/>
        <w:bottom w:val="none" w:sz="0" w:space="0" w:color="auto"/>
        <w:right w:val="none" w:sz="0" w:space="0" w:color="auto"/>
      </w:divBdr>
    </w:div>
    <w:div w:id="666901002">
      <w:bodyDiv w:val="1"/>
      <w:marLeft w:val="0"/>
      <w:marRight w:val="0"/>
      <w:marTop w:val="0"/>
      <w:marBottom w:val="0"/>
      <w:divBdr>
        <w:top w:val="none" w:sz="0" w:space="0" w:color="auto"/>
        <w:left w:val="none" w:sz="0" w:space="0" w:color="auto"/>
        <w:bottom w:val="none" w:sz="0" w:space="0" w:color="auto"/>
        <w:right w:val="none" w:sz="0" w:space="0" w:color="auto"/>
      </w:divBdr>
    </w:div>
    <w:div w:id="852231163">
      <w:bodyDiv w:val="1"/>
      <w:marLeft w:val="0"/>
      <w:marRight w:val="0"/>
      <w:marTop w:val="0"/>
      <w:marBottom w:val="0"/>
      <w:divBdr>
        <w:top w:val="none" w:sz="0" w:space="0" w:color="auto"/>
        <w:left w:val="none" w:sz="0" w:space="0" w:color="auto"/>
        <w:bottom w:val="none" w:sz="0" w:space="0" w:color="auto"/>
        <w:right w:val="none" w:sz="0" w:space="0" w:color="auto"/>
      </w:divBdr>
    </w:div>
    <w:div w:id="920600313">
      <w:bodyDiv w:val="1"/>
      <w:marLeft w:val="0"/>
      <w:marRight w:val="0"/>
      <w:marTop w:val="0"/>
      <w:marBottom w:val="0"/>
      <w:divBdr>
        <w:top w:val="none" w:sz="0" w:space="0" w:color="auto"/>
        <w:left w:val="none" w:sz="0" w:space="0" w:color="auto"/>
        <w:bottom w:val="none" w:sz="0" w:space="0" w:color="auto"/>
        <w:right w:val="none" w:sz="0" w:space="0" w:color="auto"/>
      </w:divBdr>
    </w:div>
    <w:div w:id="924650785">
      <w:bodyDiv w:val="1"/>
      <w:marLeft w:val="0"/>
      <w:marRight w:val="0"/>
      <w:marTop w:val="0"/>
      <w:marBottom w:val="0"/>
      <w:divBdr>
        <w:top w:val="none" w:sz="0" w:space="0" w:color="auto"/>
        <w:left w:val="none" w:sz="0" w:space="0" w:color="auto"/>
        <w:bottom w:val="none" w:sz="0" w:space="0" w:color="auto"/>
        <w:right w:val="none" w:sz="0" w:space="0" w:color="auto"/>
      </w:divBdr>
    </w:div>
    <w:div w:id="984354435">
      <w:bodyDiv w:val="1"/>
      <w:marLeft w:val="0"/>
      <w:marRight w:val="0"/>
      <w:marTop w:val="0"/>
      <w:marBottom w:val="0"/>
      <w:divBdr>
        <w:top w:val="none" w:sz="0" w:space="0" w:color="auto"/>
        <w:left w:val="none" w:sz="0" w:space="0" w:color="auto"/>
        <w:bottom w:val="none" w:sz="0" w:space="0" w:color="auto"/>
        <w:right w:val="none" w:sz="0" w:space="0" w:color="auto"/>
      </w:divBdr>
    </w:div>
    <w:div w:id="1081104566">
      <w:bodyDiv w:val="1"/>
      <w:marLeft w:val="0"/>
      <w:marRight w:val="0"/>
      <w:marTop w:val="0"/>
      <w:marBottom w:val="0"/>
      <w:divBdr>
        <w:top w:val="none" w:sz="0" w:space="0" w:color="auto"/>
        <w:left w:val="none" w:sz="0" w:space="0" w:color="auto"/>
        <w:bottom w:val="none" w:sz="0" w:space="0" w:color="auto"/>
        <w:right w:val="none" w:sz="0" w:space="0" w:color="auto"/>
      </w:divBdr>
    </w:div>
    <w:div w:id="1117796374">
      <w:bodyDiv w:val="1"/>
      <w:marLeft w:val="0"/>
      <w:marRight w:val="0"/>
      <w:marTop w:val="0"/>
      <w:marBottom w:val="0"/>
      <w:divBdr>
        <w:top w:val="none" w:sz="0" w:space="0" w:color="auto"/>
        <w:left w:val="none" w:sz="0" w:space="0" w:color="auto"/>
        <w:bottom w:val="none" w:sz="0" w:space="0" w:color="auto"/>
        <w:right w:val="none" w:sz="0" w:space="0" w:color="auto"/>
      </w:divBdr>
    </w:div>
    <w:div w:id="1161434175">
      <w:bodyDiv w:val="1"/>
      <w:marLeft w:val="0"/>
      <w:marRight w:val="0"/>
      <w:marTop w:val="0"/>
      <w:marBottom w:val="0"/>
      <w:divBdr>
        <w:top w:val="none" w:sz="0" w:space="0" w:color="auto"/>
        <w:left w:val="none" w:sz="0" w:space="0" w:color="auto"/>
        <w:bottom w:val="none" w:sz="0" w:space="0" w:color="auto"/>
        <w:right w:val="none" w:sz="0" w:space="0" w:color="auto"/>
      </w:divBdr>
    </w:div>
    <w:div w:id="1309749258">
      <w:bodyDiv w:val="1"/>
      <w:marLeft w:val="0"/>
      <w:marRight w:val="0"/>
      <w:marTop w:val="0"/>
      <w:marBottom w:val="0"/>
      <w:divBdr>
        <w:top w:val="none" w:sz="0" w:space="0" w:color="auto"/>
        <w:left w:val="none" w:sz="0" w:space="0" w:color="auto"/>
        <w:bottom w:val="none" w:sz="0" w:space="0" w:color="auto"/>
        <w:right w:val="none" w:sz="0" w:space="0" w:color="auto"/>
      </w:divBdr>
    </w:div>
    <w:div w:id="1375811092">
      <w:bodyDiv w:val="1"/>
      <w:marLeft w:val="0"/>
      <w:marRight w:val="0"/>
      <w:marTop w:val="0"/>
      <w:marBottom w:val="0"/>
      <w:divBdr>
        <w:top w:val="none" w:sz="0" w:space="0" w:color="auto"/>
        <w:left w:val="none" w:sz="0" w:space="0" w:color="auto"/>
        <w:bottom w:val="none" w:sz="0" w:space="0" w:color="auto"/>
        <w:right w:val="none" w:sz="0" w:space="0" w:color="auto"/>
      </w:divBdr>
    </w:div>
    <w:div w:id="1506244389">
      <w:bodyDiv w:val="1"/>
      <w:marLeft w:val="0"/>
      <w:marRight w:val="0"/>
      <w:marTop w:val="0"/>
      <w:marBottom w:val="0"/>
      <w:divBdr>
        <w:top w:val="none" w:sz="0" w:space="0" w:color="auto"/>
        <w:left w:val="none" w:sz="0" w:space="0" w:color="auto"/>
        <w:bottom w:val="none" w:sz="0" w:space="0" w:color="auto"/>
        <w:right w:val="none" w:sz="0" w:space="0" w:color="auto"/>
      </w:divBdr>
    </w:div>
    <w:div w:id="1567715965">
      <w:bodyDiv w:val="1"/>
      <w:marLeft w:val="0"/>
      <w:marRight w:val="0"/>
      <w:marTop w:val="0"/>
      <w:marBottom w:val="0"/>
      <w:divBdr>
        <w:top w:val="none" w:sz="0" w:space="0" w:color="auto"/>
        <w:left w:val="none" w:sz="0" w:space="0" w:color="auto"/>
        <w:bottom w:val="none" w:sz="0" w:space="0" w:color="auto"/>
        <w:right w:val="none" w:sz="0" w:space="0" w:color="auto"/>
      </w:divBdr>
    </w:div>
    <w:div w:id="1678653980">
      <w:bodyDiv w:val="1"/>
      <w:marLeft w:val="0"/>
      <w:marRight w:val="0"/>
      <w:marTop w:val="0"/>
      <w:marBottom w:val="0"/>
      <w:divBdr>
        <w:top w:val="none" w:sz="0" w:space="0" w:color="auto"/>
        <w:left w:val="none" w:sz="0" w:space="0" w:color="auto"/>
        <w:bottom w:val="none" w:sz="0" w:space="0" w:color="auto"/>
        <w:right w:val="none" w:sz="0" w:space="0" w:color="auto"/>
      </w:divBdr>
    </w:div>
    <w:div w:id="1823230876">
      <w:bodyDiv w:val="1"/>
      <w:marLeft w:val="0"/>
      <w:marRight w:val="0"/>
      <w:marTop w:val="0"/>
      <w:marBottom w:val="0"/>
      <w:divBdr>
        <w:top w:val="none" w:sz="0" w:space="0" w:color="auto"/>
        <w:left w:val="none" w:sz="0" w:space="0" w:color="auto"/>
        <w:bottom w:val="none" w:sz="0" w:space="0" w:color="auto"/>
        <w:right w:val="none" w:sz="0" w:space="0" w:color="auto"/>
      </w:divBdr>
    </w:div>
    <w:div w:id="1912615409">
      <w:bodyDiv w:val="1"/>
      <w:marLeft w:val="0"/>
      <w:marRight w:val="0"/>
      <w:marTop w:val="0"/>
      <w:marBottom w:val="0"/>
      <w:divBdr>
        <w:top w:val="none" w:sz="0" w:space="0" w:color="auto"/>
        <w:left w:val="none" w:sz="0" w:space="0" w:color="auto"/>
        <w:bottom w:val="none" w:sz="0" w:space="0" w:color="auto"/>
        <w:right w:val="none" w:sz="0" w:space="0" w:color="auto"/>
      </w:divBdr>
    </w:div>
    <w:div w:id="1920405060">
      <w:bodyDiv w:val="1"/>
      <w:marLeft w:val="0"/>
      <w:marRight w:val="0"/>
      <w:marTop w:val="0"/>
      <w:marBottom w:val="0"/>
      <w:divBdr>
        <w:top w:val="none" w:sz="0" w:space="0" w:color="auto"/>
        <w:left w:val="none" w:sz="0" w:space="0" w:color="auto"/>
        <w:bottom w:val="none" w:sz="0" w:space="0" w:color="auto"/>
        <w:right w:val="none" w:sz="0" w:space="0" w:color="auto"/>
      </w:divBdr>
    </w:div>
    <w:div w:id="2004696650">
      <w:bodyDiv w:val="1"/>
      <w:marLeft w:val="0"/>
      <w:marRight w:val="0"/>
      <w:marTop w:val="0"/>
      <w:marBottom w:val="0"/>
      <w:divBdr>
        <w:top w:val="none" w:sz="0" w:space="0" w:color="auto"/>
        <w:left w:val="none" w:sz="0" w:space="0" w:color="auto"/>
        <w:bottom w:val="none" w:sz="0" w:space="0" w:color="auto"/>
        <w:right w:val="none" w:sz="0" w:space="0" w:color="auto"/>
      </w:divBdr>
    </w:div>
    <w:div w:id="20440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chart" Target="charts/chart11.xml"/><Relationship Id="rId42" Type="http://schemas.openxmlformats.org/officeDocument/2006/relationships/chart" Target="charts/chart32.xml"/><Relationship Id="rId47" Type="http://schemas.openxmlformats.org/officeDocument/2006/relationships/chart" Target="charts/chart37.xml"/><Relationship Id="rId63" Type="http://schemas.openxmlformats.org/officeDocument/2006/relationships/chart" Target="charts/chart53.xml"/><Relationship Id="rId68" Type="http://schemas.openxmlformats.org/officeDocument/2006/relationships/chart" Target="charts/chart58.xml"/><Relationship Id="rId84" Type="http://schemas.openxmlformats.org/officeDocument/2006/relationships/chart" Target="charts/chart74.xml"/><Relationship Id="rId89" Type="http://schemas.openxmlformats.org/officeDocument/2006/relationships/chart" Target="charts/chart79.xml"/><Relationship Id="rId112" Type="http://schemas.openxmlformats.org/officeDocument/2006/relationships/chart" Target="charts/chart102.xml"/><Relationship Id="rId16" Type="http://schemas.openxmlformats.org/officeDocument/2006/relationships/chart" Target="charts/chart6.xml"/><Relationship Id="rId107" Type="http://schemas.openxmlformats.org/officeDocument/2006/relationships/chart" Target="charts/chart97.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chart" Target="charts/chart64.xml"/><Relationship Id="rId79" Type="http://schemas.openxmlformats.org/officeDocument/2006/relationships/chart" Target="charts/chart69.xml"/><Relationship Id="rId87" Type="http://schemas.openxmlformats.org/officeDocument/2006/relationships/chart" Target="charts/chart77.xml"/><Relationship Id="rId102" Type="http://schemas.openxmlformats.org/officeDocument/2006/relationships/chart" Target="charts/chart92.xml"/><Relationship Id="rId110" Type="http://schemas.openxmlformats.org/officeDocument/2006/relationships/chart" Target="charts/chart100.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1.xml"/><Relationship Id="rId82" Type="http://schemas.openxmlformats.org/officeDocument/2006/relationships/chart" Target="charts/chart72.xml"/><Relationship Id="rId90" Type="http://schemas.openxmlformats.org/officeDocument/2006/relationships/chart" Target="charts/chart80.xml"/><Relationship Id="rId95" Type="http://schemas.openxmlformats.org/officeDocument/2006/relationships/chart" Target="charts/chart85.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7.xml"/><Relationship Id="rId100" Type="http://schemas.openxmlformats.org/officeDocument/2006/relationships/chart" Target="charts/chart90.xml"/><Relationship Id="rId105" Type="http://schemas.openxmlformats.org/officeDocument/2006/relationships/chart" Target="charts/chart95.xml"/><Relationship Id="rId113" Type="http://schemas.openxmlformats.org/officeDocument/2006/relationships/image" Target="media/image3.gif"/><Relationship Id="rId8" Type="http://schemas.openxmlformats.org/officeDocument/2006/relationships/header" Target="header1.xml"/><Relationship Id="rId51" Type="http://schemas.openxmlformats.org/officeDocument/2006/relationships/chart" Target="charts/chart41.xml"/><Relationship Id="rId72" Type="http://schemas.openxmlformats.org/officeDocument/2006/relationships/chart" Target="charts/chart62.xml"/><Relationship Id="rId80" Type="http://schemas.openxmlformats.org/officeDocument/2006/relationships/chart" Target="charts/chart70.xml"/><Relationship Id="rId85" Type="http://schemas.openxmlformats.org/officeDocument/2006/relationships/chart" Target="charts/chart75.xml"/><Relationship Id="rId93" Type="http://schemas.openxmlformats.org/officeDocument/2006/relationships/chart" Target="charts/chart83.xml"/><Relationship Id="rId98" Type="http://schemas.openxmlformats.org/officeDocument/2006/relationships/chart" Target="charts/chart88.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103" Type="http://schemas.openxmlformats.org/officeDocument/2006/relationships/chart" Target="charts/chart93.xml"/><Relationship Id="rId108" Type="http://schemas.openxmlformats.org/officeDocument/2006/relationships/chart" Target="charts/chart98.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chart" Target="charts/chart73.xml"/><Relationship Id="rId88" Type="http://schemas.openxmlformats.org/officeDocument/2006/relationships/chart" Target="charts/chart78.xml"/><Relationship Id="rId91" Type="http://schemas.openxmlformats.org/officeDocument/2006/relationships/chart" Target="charts/chart81.xml"/><Relationship Id="rId96" Type="http://schemas.openxmlformats.org/officeDocument/2006/relationships/chart" Target="charts/chart86.xml"/><Relationship Id="rId111" Type="http://schemas.openxmlformats.org/officeDocument/2006/relationships/chart" Target="charts/chart10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6" Type="http://schemas.openxmlformats.org/officeDocument/2006/relationships/chart" Target="charts/chart96.xml"/><Relationship Id="rId114"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chart" Target="charts/chart71.xml"/><Relationship Id="rId86" Type="http://schemas.openxmlformats.org/officeDocument/2006/relationships/chart" Target="charts/chart76.xml"/><Relationship Id="rId94" Type="http://schemas.openxmlformats.org/officeDocument/2006/relationships/chart" Target="charts/chart84.xml"/><Relationship Id="rId99" Type="http://schemas.openxmlformats.org/officeDocument/2006/relationships/chart" Target="charts/chart89.xml"/><Relationship Id="rId101" Type="http://schemas.openxmlformats.org/officeDocument/2006/relationships/chart" Target="charts/chart9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chart" Target="charts/chart29.xml"/><Relationship Id="rId109" Type="http://schemas.openxmlformats.org/officeDocument/2006/relationships/chart" Target="charts/chart99.xml"/><Relationship Id="rId34" Type="http://schemas.openxmlformats.org/officeDocument/2006/relationships/chart" Target="charts/chart24.xml"/><Relationship Id="rId50" Type="http://schemas.openxmlformats.org/officeDocument/2006/relationships/chart" Target="charts/chart40.xml"/><Relationship Id="rId55" Type="http://schemas.openxmlformats.org/officeDocument/2006/relationships/chart" Target="charts/chart45.xml"/><Relationship Id="rId76" Type="http://schemas.openxmlformats.org/officeDocument/2006/relationships/chart" Target="charts/chart66.xml"/><Relationship Id="rId97" Type="http://schemas.openxmlformats.org/officeDocument/2006/relationships/chart" Target="charts/chart87.xml"/><Relationship Id="rId104" Type="http://schemas.openxmlformats.org/officeDocument/2006/relationships/chart" Target="charts/chart94.xml"/><Relationship Id="rId7" Type="http://schemas.openxmlformats.org/officeDocument/2006/relationships/endnotes" Target="endnotes.xml"/><Relationship Id="rId71" Type="http://schemas.openxmlformats.org/officeDocument/2006/relationships/chart" Target="charts/chart61.xml"/><Relationship Id="rId92" Type="http://schemas.openxmlformats.org/officeDocument/2006/relationships/chart" Target="charts/chart82.xml"/><Relationship Id="rId2" Type="http://schemas.openxmlformats.org/officeDocument/2006/relationships/numbering" Target="numbering.xml"/><Relationship Id="rId29" Type="http://schemas.openxmlformats.org/officeDocument/2006/relationships/chart" Target="charts/chart1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MAPy\demografie\demo_ORP_Kutn&#225;_Ho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415172521941279"/>
          <c:y val="6.0047381396392693E-2"/>
          <c:w val="0.79598178901920758"/>
          <c:h val="0.80446209594753992"/>
        </c:manualLayout>
      </c:layout>
      <c:scatterChart>
        <c:scatterStyle val="smoothMarker"/>
        <c:ser>
          <c:idx val="0"/>
          <c:order val="0"/>
          <c:tx>
            <c:strRef>
              <c:f>'ORP - analyza'!$D$1</c:f>
              <c:strCache>
                <c:ptCount val="1"/>
                <c:pt idx="0">
                  <c:v>počet obyvatel k 31.12.</c:v>
                </c:pt>
              </c:strCache>
            </c:strRef>
          </c:tx>
          <c:marker>
            <c:symbol val="none"/>
          </c:marker>
          <c:trendline>
            <c:trendlineType val="poly"/>
            <c:order val="2"/>
            <c:forward val="5"/>
            <c:dispRSqr val="1"/>
            <c:trendlineLbl>
              <c:numFmt formatCode="General" sourceLinked="0"/>
            </c:trendlineLbl>
          </c:trendline>
          <c:xVal>
            <c:numRef>
              <c:f>'ORP - analyza'!$A$2:$A$26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analyza'!$D$2:$D$26</c:f>
              <c:numCache>
                <c:formatCode>#,##0</c:formatCode>
                <c:ptCount val="25"/>
                <c:pt idx="0">
                  <c:v>200</c:v>
                </c:pt>
                <c:pt idx="1">
                  <c:v>200</c:v>
                </c:pt>
                <c:pt idx="2">
                  <c:v>193</c:v>
                </c:pt>
                <c:pt idx="3">
                  <c:v>191</c:v>
                </c:pt>
                <c:pt idx="4">
                  <c:v>183</c:v>
                </c:pt>
                <c:pt idx="5">
                  <c:v>191</c:v>
                </c:pt>
                <c:pt idx="6">
                  <c:v>188</c:v>
                </c:pt>
                <c:pt idx="7">
                  <c:v>182</c:v>
                </c:pt>
                <c:pt idx="8">
                  <c:v>180</c:v>
                </c:pt>
                <c:pt idx="9">
                  <c:v>178</c:v>
                </c:pt>
                <c:pt idx="10">
                  <c:v>176</c:v>
                </c:pt>
                <c:pt idx="11">
                  <c:v>167</c:v>
                </c:pt>
                <c:pt idx="12">
                  <c:v>165</c:v>
                </c:pt>
                <c:pt idx="13">
                  <c:v>165</c:v>
                </c:pt>
                <c:pt idx="14">
                  <c:v>161</c:v>
                </c:pt>
                <c:pt idx="15">
                  <c:v>161</c:v>
                </c:pt>
                <c:pt idx="16">
                  <c:v>161</c:v>
                </c:pt>
                <c:pt idx="17">
                  <c:v>167</c:v>
                </c:pt>
                <c:pt idx="18">
                  <c:v>175</c:v>
                </c:pt>
                <c:pt idx="19">
                  <c:v>169</c:v>
                </c:pt>
                <c:pt idx="20">
                  <c:v>184</c:v>
                </c:pt>
                <c:pt idx="21">
                  <c:v>188</c:v>
                </c:pt>
                <c:pt idx="22">
                  <c:v>188</c:v>
                </c:pt>
                <c:pt idx="23">
                  <c:v>196</c:v>
                </c:pt>
                <c:pt idx="24">
                  <c:v>197</c:v>
                </c:pt>
              </c:numCache>
            </c:numRef>
          </c:yVal>
          <c:smooth val="1"/>
        </c:ser>
        <c:axId val="89004288"/>
        <c:axId val="89025920"/>
      </c:scatterChart>
      <c:valAx>
        <c:axId val="89004288"/>
        <c:scaling>
          <c:orientation val="minMax"/>
          <c:max val="2020"/>
          <c:min val="1990"/>
        </c:scaling>
        <c:axPos val="b"/>
        <c:numFmt formatCode="General" sourceLinked="1"/>
        <c:tickLblPos val="nextTo"/>
        <c:crossAx val="89025920"/>
        <c:crosses val="autoZero"/>
        <c:crossBetween val="midCat"/>
      </c:valAx>
      <c:valAx>
        <c:axId val="89025920"/>
        <c:scaling>
          <c:orientation val="minMax"/>
          <c:min val="150"/>
        </c:scaling>
        <c:axPos val="l"/>
        <c:majorGridlines/>
        <c:numFmt formatCode="#,##0" sourceLinked="1"/>
        <c:tickLblPos val="nextTo"/>
        <c:crossAx val="89004288"/>
        <c:crosses val="autoZero"/>
        <c:crossBetween val="midCat"/>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9.8239494219171941E-2"/>
          <c:y val="6.0006060100536475E-2"/>
          <c:w val="0.8267592340828247"/>
          <c:h val="0.80459665434786676"/>
        </c:manualLayout>
      </c:layout>
      <c:scatterChart>
        <c:scatterStyle val="lineMarker"/>
        <c:ser>
          <c:idx val="0"/>
          <c:order val="0"/>
          <c:marker>
            <c:symbol val="none"/>
          </c:marker>
          <c:xVal>
            <c:numRef>
              <c:f>'ORP - analyza'!$A$158:$A$182</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analyza'!$C$158:$C$182</c:f>
              <c:numCache>
                <c:formatCode>#,##0</c:formatCode>
                <c:ptCount val="25"/>
                <c:pt idx="0">
                  <c:v>8</c:v>
                </c:pt>
                <c:pt idx="1">
                  <c:v>4</c:v>
                </c:pt>
                <c:pt idx="2">
                  <c:v>7</c:v>
                </c:pt>
                <c:pt idx="3">
                  <c:v>5</c:v>
                </c:pt>
                <c:pt idx="4">
                  <c:v>2</c:v>
                </c:pt>
                <c:pt idx="5">
                  <c:v>5</c:v>
                </c:pt>
                <c:pt idx="6">
                  <c:v>5</c:v>
                </c:pt>
                <c:pt idx="7">
                  <c:v>3</c:v>
                </c:pt>
                <c:pt idx="8">
                  <c:v>2</c:v>
                </c:pt>
                <c:pt idx="9">
                  <c:v>3</c:v>
                </c:pt>
                <c:pt idx="10">
                  <c:v>5</c:v>
                </c:pt>
                <c:pt idx="11">
                  <c:v>3</c:v>
                </c:pt>
                <c:pt idx="12">
                  <c:v>3</c:v>
                </c:pt>
                <c:pt idx="13">
                  <c:v>3</c:v>
                </c:pt>
                <c:pt idx="14">
                  <c:v>5</c:v>
                </c:pt>
                <c:pt idx="15">
                  <c:v>3</c:v>
                </c:pt>
                <c:pt idx="16">
                  <c:v>4</c:v>
                </c:pt>
                <c:pt idx="17">
                  <c:v>2</c:v>
                </c:pt>
                <c:pt idx="18">
                  <c:v>1</c:v>
                </c:pt>
                <c:pt idx="19">
                  <c:v>1</c:v>
                </c:pt>
                <c:pt idx="20">
                  <c:v>2</c:v>
                </c:pt>
                <c:pt idx="21">
                  <c:v>5</c:v>
                </c:pt>
                <c:pt idx="22">
                  <c:v>4</c:v>
                </c:pt>
                <c:pt idx="23">
                  <c:v>3</c:v>
                </c:pt>
                <c:pt idx="24">
                  <c:v>7</c:v>
                </c:pt>
              </c:numCache>
            </c:numRef>
          </c:yVal>
        </c:ser>
        <c:axId val="124703872"/>
        <c:axId val="124705792"/>
      </c:scatterChart>
      <c:valAx>
        <c:axId val="124703872"/>
        <c:scaling>
          <c:orientation val="minMax"/>
          <c:max val="2016"/>
          <c:min val="1990"/>
        </c:scaling>
        <c:axPos val="b"/>
        <c:numFmt formatCode="General" sourceLinked="1"/>
        <c:tickLblPos val="nextTo"/>
        <c:crossAx val="124705792"/>
        <c:crosses val="autoZero"/>
        <c:crossBetween val="midCat"/>
      </c:valAx>
      <c:valAx>
        <c:axId val="124705792"/>
        <c:scaling>
          <c:orientation val="minMax"/>
        </c:scaling>
        <c:axPos val="l"/>
        <c:majorGridlines/>
        <c:numFmt formatCode="#,##0" sourceLinked="1"/>
        <c:tickLblPos val="nextTo"/>
        <c:crossAx val="124703872"/>
        <c:crosses val="autoZero"/>
        <c:crossBetween val="midCat"/>
      </c:valAx>
    </c:plotArea>
    <c:plotVisOnly val="1"/>
  </c:chart>
  <c:spPr>
    <a:ln>
      <a:noFill/>
    </a:ln>
  </c:spPr>
  <c:externalData r:id="rId1"/>
</c:chartSpace>
</file>

<file path=word/charts/chart10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2187012852366266"/>
          <c:y val="6.8357447171593255E-2"/>
          <c:w val="0.8022427767924255"/>
          <c:h val="0.77740125155377793"/>
        </c:manualLayout>
      </c:layout>
      <c:scatterChart>
        <c:scatterStyle val="lineMarker"/>
        <c:ser>
          <c:idx val="0"/>
          <c:order val="0"/>
          <c:marker>
            <c:symbol val="none"/>
          </c:marker>
          <c:xVal>
            <c:numRef>
              <c:f>'ORP - analyza'!$A$1193:$A$1217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analyza'!$C$1193:$C$1217</c:f>
              <c:numCache>
                <c:formatCode>#,##0</c:formatCode>
                <c:ptCount val="25"/>
                <c:pt idx="0">
                  <c:v>5</c:v>
                </c:pt>
                <c:pt idx="1">
                  <c:v>8</c:v>
                </c:pt>
                <c:pt idx="2">
                  <c:v>8</c:v>
                </c:pt>
                <c:pt idx="3">
                  <c:v>4</c:v>
                </c:pt>
                <c:pt idx="4">
                  <c:v>4</c:v>
                </c:pt>
                <c:pt idx="5">
                  <c:v>5</c:v>
                </c:pt>
                <c:pt idx="6">
                  <c:v>3</c:v>
                </c:pt>
                <c:pt idx="7">
                  <c:v>10</c:v>
                </c:pt>
                <c:pt idx="8">
                  <c:v>3</c:v>
                </c:pt>
                <c:pt idx="9">
                  <c:v>8</c:v>
                </c:pt>
                <c:pt idx="10">
                  <c:v>2</c:v>
                </c:pt>
                <c:pt idx="11">
                  <c:v>3</c:v>
                </c:pt>
                <c:pt idx="12">
                  <c:v>2</c:v>
                </c:pt>
                <c:pt idx="13">
                  <c:v>4</c:v>
                </c:pt>
                <c:pt idx="14">
                  <c:v>5</c:v>
                </c:pt>
                <c:pt idx="15">
                  <c:v>4</c:v>
                </c:pt>
                <c:pt idx="16">
                  <c:v>6</c:v>
                </c:pt>
                <c:pt idx="17">
                  <c:v>6</c:v>
                </c:pt>
                <c:pt idx="18">
                  <c:v>8</c:v>
                </c:pt>
                <c:pt idx="19">
                  <c:v>9</c:v>
                </c:pt>
                <c:pt idx="20">
                  <c:v>3</c:v>
                </c:pt>
                <c:pt idx="21">
                  <c:v>7</c:v>
                </c:pt>
                <c:pt idx="22">
                  <c:v>5</c:v>
                </c:pt>
                <c:pt idx="23">
                  <c:v>2</c:v>
                </c:pt>
                <c:pt idx="24">
                  <c:v>5</c:v>
                </c:pt>
              </c:numCache>
            </c:numRef>
          </c:yVal>
        </c:ser>
        <c:axId val="144493568"/>
        <c:axId val="144507648"/>
      </c:scatterChart>
      <c:valAx>
        <c:axId val="144493568"/>
        <c:scaling>
          <c:orientation val="minMax"/>
          <c:max val="2016"/>
          <c:min val="1990"/>
        </c:scaling>
        <c:axPos val="b"/>
        <c:numFmt formatCode="General" sourceLinked="1"/>
        <c:tickLblPos val="nextTo"/>
        <c:crossAx val="144507648"/>
        <c:crosses val="autoZero"/>
        <c:crossBetween val="midCat"/>
      </c:valAx>
      <c:valAx>
        <c:axId val="144507648"/>
        <c:scaling>
          <c:orientation val="minMax"/>
        </c:scaling>
        <c:axPos val="l"/>
        <c:majorGridlines/>
        <c:numFmt formatCode="#,##0" sourceLinked="1"/>
        <c:tickLblPos val="nextTo"/>
        <c:crossAx val="144493568"/>
        <c:crosses val="autoZero"/>
        <c:crossBetween val="midCat"/>
      </c:valAx>
    </c:plotArea>
    <c:plotVisOnly val="1"/>
  </c:chart>
  <c:spPr>
    <a:ln>
      <a:noFill/>
    </a:ln>
  </c:spPr>
  <c:externalData r:id="rId1"/>
</c:chartSpace>
</file>

<file path=word/charts/chart10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6764145246011544"/>
          <c:y val="6.8357447171593255E-2"/>
          <c:w val="0.76327126659034805"/>
          <c:h val="0.77740125155377793"/>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analyza'!$A$1297:$A$1321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analyza'!$D$1297:$D$1321</c:f>
              <c:numCache>
                <c:formatCode>#,##0</c:formatCode>
                <c:ptCount val="25"/>
                <c:pt idx="0">
                  <c:v>5275</c:v>
                </c:pt>
                <c:pt idx="1">
                  <c:v>5282</c:v>
                </c:pt>
                <c:pt idx="2">
                  <c:v>5341</c:v>
                </c:pt>
                <c:pt idx="3">
                  <c:v>5330</c:v>
                </c:pt>
                <c:pt idx="4">
                  <c:v>5278</c:v>
                </c:pt>
                <c:pt idx="5">
                  <c:v>5243</c:v>
                </c:pt>
                <c:pt idx="6">
                  <c:v>5204</c:v>
                </c:pt>
                <c:pt idx="7">
                  <c:v>5188</c:v>
                </c:pt>
                <c:pt idx="8">
                  <c:v>5128</c:v>
                </c:pt>
                <c:pt idx="9">
                  <c:v>5087</c:v>
                </c:pt>
                <c:pt idx="10">
                  <c:v>4998</c:v>
                </c:pt>
                <c:pt idx="11">
                  <c:v>4949</c:v>
                </c:pt>
                <c:pt idx="12">
                  <c:v>4925</c:v>
                </c:pt>
                <c:pt idx="13">
                  <c:v>4898</c:v>
                </c:pt>
                <c:pt idx="14">
                  <c:v>4920</c:v>
                </c:pt>
                <c:pt idx="15">
                  <c:v>5092</c:v>
                </c:pt>
                <c:pt idx="16">
                  <c:v>5034</c:v>
                </c:pt>
                <c:pt idx="17">
                  <c:v>5010</c:v>
                </c:pt>
                <c:pt idx="18">
                  <c:v>4962</c:v>
                </c:pt>
                <c:pt idx="19">
                  <c:v>4965</c:v>
                </c:pt>
                <c:pt idx="20">
                  <c:v>4906</c:v>
                </c:pt>
                <c:pt idx="21">
                  <c:v>4875</c:v>
                </c:pt>
                <c:pt idx="22">
                  <c:v>4799</c:v>
                </c:pt>
                <c:pt idx="23">
                  <c:v>4732</c:v>
                </c:pt>
                <c:pt idx="24">
                  <c:v>4719</c:v>
                </c:pt>
              </c:numCache>
            </c:numRef>
          </c:yVal>
          <c:smooth val="1"/>
        </c:ser>
        <c:axId val="144523648"/>
        <c:axId val="144525184"/>
      </c:scatterChart>
      <c:valAx>
        <c:axId val="144523648"/>
        <c:scaling>
          <c:orientation val="minMax"/>
          <c:max val="2020"/>
          <c:min val="1990"/>
        </c:scaling>
        <c:axPos val="b"/>
        <c:numFmt formatCode="General" sourceLinked="1"/>
        <c:tickLblPos val="nextTo"/>
        <c:crossAx val="144525184"/>
        <c:crosses val="autoZero"/>
        <c:crossBetween val="midCat"/>
      </c:valAx>
      <c:valAx>
        <c:axId val="144525184"/>
        <c:scaling>
          <c:orientation val="minMax"/>
        </c:scaling>
        <c:axPos val="l"/>
        <c:majorGridlines/>
        <c:numFmt formatCode="#,##0" sourceLinked="1"/>
        <c:tickLblPos val="nextTo"/>
        <c:crossAx val="144523648"/>
        <c:crosses val="autoZero"/>
        <c:crossBetween val="midCat"/>
      </c:valAx>
    </c:plotArea>
    <c:plotVisOnly val="1"/>
  </c:chart>
  <c:spPr>
    <a:ln>
      <a:noFill/>
    </a:ln>
  </c:spPr>
  <c:externalData r:id="rId1"/>
</c:chartSpace>
</file>

<file path=word/charts/chart10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51741445468916"/>
          <c:y val="6.6306734364412007E-2"/>
          <c:w val="0.80606049822193249"/>
          <c:h val="0.78407917946344974"/>
        </c:manualLayout>
      </c:layout>
      <c:scatterChart>
        <c:scatterStyle val="lineMarker"/>
        <c:ser>
          <c:idx val="0"/>
          <c:order val="0"/>
          <c:marker>
            <c:symbol val="none"/>
          </c:marker>
          <c:xVal>
            <c:numRef>
              <c:f>'ORP - analyza'!$A$1297:$A$1321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analyza'!$C$1297:$C$1321</c:f>
              <c:numCache>
                <c:formatCode>#,##0</c:formatCode>
                <c:ptCount val="25"/>
                <c:pt idx="0">
                  <c:v>71</c:v>
                </c:pt>
                <c:pt idx="1">
                  <c:v>64</c:v>
                </c:pt>
                <c:pt idx="2">
                  <c:v>75</c:v>
                </c:pt>
                <c:pt idx="3">
                  <c:v>68</c:v>
                </c:pt>
                <c:pt idx="4">
                  <c:v>46</c:v>
                </c:pt>
                <c:pt idx="5">
                  <c:v>38</c:v>
                </c:pt>
                <c:pt idx="6">
                  <c:v>37</c:v>
                </c:pt>
                <c:pt idx="7">
                  <c:v>47</c:v>
                </c:pt>
                <c:pt idx="8">
                  <c:v>35</c:v>
                </c:pt>
                <c:pt idx="9">
                  <c:v>41</c:v>
                </c:pt>
                <c:pt idx="10">
                  <c:v>30</c:v>
                </c:pt>
                <c:pt idx="11">
                  <c:v>33</c:v>
                </c:pt>
                <c:pt idx="12">
                  <c:v>41</c:v>
                </c:pt>
                <c:pt idx="13">
                  <c:v>41</c:v>
                </c:pt>
                <c:pt idx="14">
                  <c:v>35</c:v>
                </c:pt>
                <c:pt idx="15">
                  <c:v>49</c:v>
                </c:pt>
                <c:pt idx="16">
                  <c:v>45</c:v>
                </c:pt>
                <c:pt idx="17">
                  <c:v>57</c:v>
                </c:pt>
                <c:pt idx="18">
                  <c:v>46</c:v>
                </c:pt>
                <c:pt idx="19">
                  <c:v>42</c:v>
                </c:pt>
                <c:pt idx="20">
                  <c:v>38</c:v>
                </c:pt>
                <c:pt idx="21">
                  <c:v>37</c:v>
                </c:pt>
                <c:pt idx="22">
                  <c:v>32</c:v>
                </c:pt>
                <c:pt idx="23">
                  <c:v>36</c:v>
                </c:pt>
                <c:pt idx="24">
                  <c:v>28</c:v>
                </c:pt>
              </c:numCache>
            </c:numRef>
          </c:yVal>
        </c:ser>
        <c:axId val="144540416"/>
        <c:axId val="144541952"/>
      </c:scatterChart>
      <c:valAx>
        <c:axId val="144540416"/>
        <c:scaling>
          <c:orientation val="minMax"/>
          <c:max val="2016"/>
          <c:min val="1990"/>
        </c:scaling>
        <c:axPos val="b"/>
        <c:numFmt formatCode="General" sourceLinked="1"/>
        <c:tickLblPos val="nextTo"/>
        <c:crossAx val="144541952"/>
        <c:crosses val="autoZero"/>
        <c:crossBetween val="midCat"/>
      </c:valAx>
      <c:valAx>
        <c:axId val="144541952"/>
        <c:scaling>
          <c:orientation val="minMax"/>
        </c:scaling>
        <c:axPos val="l"/>
        <c:majorGridlines/>
        <c:numFmt formatCode="#,##0" sourceLinked="1"/>
        <c:tickLblPos val="nextTo"/>
        <c:crossAx val="144540416"/>
        <c:crosses val="autoZero"/>
        <c:crossBetween val="midCat"/>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409727982073125"/>
          <c:y val="5.8163791037375775E-2"/>
          <c:w val="0.7960645896899935"/>
          <c:h val="0.81059580739890735"/>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analyza'!$A$210:$A$234</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analyza'!$D$210:$D$234</c:f>
              <c:numCache>
                <c:formatCode>#,##0</c:formatCode>
                <c:ptCount val="25"/>
                <c:pt idx="0">
                  <c:v>419</c:v>
                </c:pt>
                <c:pt idx="1">
                  <c:v>426</c:v>
                </c:pt>
                <c:pt idx="2">
                  <c:v>422</c:v>
                </c:pt>
                <c:pt idx="3">
                  <c:v>417</c:v>
                </c:pt>
                <c:pt idx="4">
                  <c:v>420</c:v>
                </c:pt>
                <c:pt idx="5">
                  <c:v>424</c:v>
                </c:pt>
                <c:pt idx="6">
                  <c:v>425</c:v>
                </c:pt>
                <c:pt idx="7">
                  <c:v>431</c:v>
                </c:pt>
                <c:pt idx="8">
                  <c:v>429</c:v>
                </c:pt>
                <c:pt idx="9">
                  <c:v>433</c:v>
                </c:pt>
                <c:pt idx="10">
                  <c:v>418</c:v>
                </c:pt>
                <c:pt idx="11">
                  <c:v>401</c:v>
                </c:pt>
                <c:pt idx="12">
                  <c:v>407</c:v>
                </c:pt>
                <c:pt idx="13">
                  <c:v>423</c:v>
                </c:pt>
                <c:pt idx="14">
                  <c:v>427</c:v>
                </c:pt>
                <c:pt idx="15">
                  <c:v>436</c:v>
                </c:pt>
                <c:pt idx="16">
                  <c:v>440</c:v>
                </c:pt>
                <c:pt idx="17">
                  <c:v>462</c:v>
                </c:pt>
                <c:pt idx="18">
                  <c:v>484</c:v>
                </c:pt>
                <c:pt idx="19">
                  <c:v>511</c:v>
                </c:pt>
                <c:pt idx="20">
                  <c:v>516</c:v>
                </c:pt>
                <c:pt idx="21">
                  <c:v>546</c:v>
                </c:pt>
                <c:pt idx="22">
                  <c:v>548</c:v>
                </c:pt>
                <c:pt idx="23">
                  <c:v>564</c:v>
                </c:pt>
                <c:pt idx="24">
                  <c:v>575</c:v>
                </c:pt>
              </c:numCache>
            </c:numRef>
          </c:yVal>
          <c:smooth val="1"/>
        </c:ser>
        <c:axId val="129248640"/>
        <c:axId val="129320064"/>
      </c:scatterChart>
      <c:valAx>
        <c:axId val="129248640"/>
        <c:scaling>
          <c:orientation val="minMax"/>
          <c:max val="2020"/>
          <c:min val="1990"/>
        </c:scaling>
        <c:axPos val="b"/>
        <c:numFmt formatCode="General" sourceLinked="1"/>
        <c:tickLblPos val="nextTo"/>
        <c:crossAx val="129320064"/>
        <c:crosses val="autoZero"/>
        <c:crossBetween val="midCat"/>
      </c:valAx>
      <c:valAx>
        <c:axId val="129320064"/>
        <c:scaling>
          <c:orientation val="minMax"/>
          <c:min val="300"/>
        </c:scaling>
        <c:axPos val="l"/>
        <c:majorGridlines/>
        <c:numFmt formatCode="#,##0" sourceLinked="1"/>
        <c:tickLblPos val="nextTo"/>
        <c:crossAx val="129248640"/>
        <c:crosses val="autoZero"/>
        <c:crossBetween val="midCat"/>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98067949839604"/>
          <c:y val="5.8163767044629597E-2"/>
          <c:w val="0.80530876348789771"/>
          <c:h val="0.81059588552873052"/>
        </c:manualLayout>
      </c:layout>
      <c:scatterChart>
        <c:scatterStyle val="lineMarker"/>
        <c:ser>
          <c:idx val="0"/>
          <c:order val="0"/>
          <c:marker>
            <c:symbol val="none"/>
          </c:marker>
          <c:xVal>
            <c:numRef>
              <c:f>'ORP - analyza'!$A$210:$A$234</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analyza'!$C$210:$C$234</c:f>
              <c:numCache>
                <c:formatCode>#,##0</c:formatCode>
                <c:ptCount val="25"/>
                <c:pt idx="0">
                  <c:v>6</c:v>
                </c:pt>
                <c:pt idx="1">
                  <c:v>6</c:v>
                </c:pt>
                <c:pt idx="2">
                  <c:v>2</c:v>
                </c:pt>
                <c:pt idx="3">
                  <c:v>3</c:v>
                </c:pt>
                <c:pt idx="4">
                  <c:v>3</c:v>
                </c:pt>
                <c:pt idx="5">
                  <c:v>3</c:v>
                </c:pt>
                <c:pt idx="6">
                  <c:v>4</c:v>
                </c:pt>
                <c:pt idx="7">
                  <c:v>4</c:v>
                </c:pt>
                <c:pt idx="8">
                  <c:v>2</c:v>
                </c:pt>
                <c:pt idx="9">
                  <c:v>2</c:v>
                </c:pt>
                <c:pt idx="10">
                  <c:v>6</c:v>
                </c:pt>
                <c:pt idx="11">
                  <c:v>4</c:v>
                </c:pt>
                <c:pt idx="12">
                  <c:v>2</c:v>
                </c:pt>
                <c:pt idx="13">
                  <c:v>3</c:v>
                </c:pt>
                <c:pt idx="14">
                  <c:v>4</c:v>
                </c:pt>
                <c:pt idx="15">
                  <c:v>5</c:v>
                </c:pt>
                <c:pt idx="16">
                  <c:v>4</c:v>
                </c:pt>
                <c:pt idx="17">
                  <c:v>6</c:v>
                </c:pt>
                <c:pt idx="18">
                  <c:v>9</c:v>
                </c:pt>
                <c:pt idx="19">
                  <c:v>1</c:v>
                </c:pt>
                <c:pt idx="20">
                  <c:v>7</c:v>
                </c:pt>
                <c:pt idx="21">
                  <c:v>8</c:v>
                </c:pt>
                <c:pt idx="22">
                  <c:v>5</c:v>
                </c:pt>
                <c:pt idx="23">
                  <c:v>10</c:v>
                </c:pt>
                <c:pt idx="24">
                  <c:v>5</c:v>
                </c:pt>
              </c:numCache>
            </c:numRef>
          </c:yVal>
        </c:ser>
        <c:axId val="132734336"/>
        <c:axId val="136186496"/>
      </c:scatterChart>
      <c:valAx>
        <c:axId val="132734336"/>
        <c:scaling>
          <c:orientation val="minMax"/>
          <c:max val="2016"/>
          <c:min val="1990"/>
        </c:scaling>
        <c:axPos val="b"/>
        <c:numFmt formatCode="General" sourceLinked="1"/>
        <c:tickLblPos val="nextTo"/>
        <c:crossAx val="136186496"/>
        <c:crosses val="autoZero"/>
        <c:crossBetween val="midCat"/>
      </c:valAx>
      <c:valAx>
        <c:axId val="136186496"/>
        <c:scaling>
          <c:orientation val="minMax"/>
        </c:scaling>
        <c:axPos val="l"/>
        <c:majorGridlines/>
        <c:numFmt formatCode="#,##0" sourceLinked="1"/>
        <c:tickLblPos val="nextTo"/>
        <c:crossAx val="132734336"/>
        <c:crosses val="autoZero"/>
        <c:crossBetween val="midCat"/>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409727982073125"/>
          <c:y val="6.0006085637257719E-2"/>
          <c:w val="0.7960645896899935"/>
          <c:h val="0.80459657119025207"/>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analyza'!$A$288:$A$312</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analyza'!$D$288:$D$312</c:f>
              <c:numCache>
                <c:formatCode>#,##0</c:formatCode>
                <c:ptCount val="25"/>
                <c:pt idx="0">
                  <c:v>716</c:v>
                </c:pt>
                <c:pt idx="1">
                  <c:v>718</c:v>
                </c:pt>
                <c:pt idx="2">
                  <c:v>728</c:v>
                </c:pt>
                <c:pt idx="3">
                  <c:v>717</c:v>
                </c:pt>
                <c:pt idx="4">
                  <c:v>714</c:v>
                </c:pt>
                <c:pt idx="5">
                  <c:v>699</c:v>
                </c:pt>
                <c:pt idx="6">
                  <c:v>704</c:v>
                </c:pt>
                <c:pt idx="7">
                  <c:v>707</c:v>
                </c:pt>
                <c:pt idx="8">
                  <c:v>713</c:v>
                </c:pt>
                <c:pt idx="9">
                  <c:v>720</c:v>
                </c:pt>
                <c:pt idx="10">
                  <c:v>716</c:v>
                </c:pt>
                <c:pt idx="11">
                  <c:v>707</c:v>
                </c:pt>
                <c:pt idx="12">
                  <c:v>693</c:v>
                </c:pt>
                <c:pt idx="13">
                  <c:v>680</c:v>
                </c:pt>
                <c:pt idx="14">
                  <c:v>696</c:v>
                </c:pt>
                <c:pt idx="15">
                  <c:v>703</c:v>
                </c:pt>
                <c:pt idx="16">
                  <c:v>705</c:v>
                </c:pt>
                <c:pt idx="17">
                  <c:v>709</c:v>
                </c:pt>
                <c:pt idx="18">
                  <c:v>717</c:v>
                </c:pt>
                <c:pt idx="19">
                  <c:v>710</c:v>
                </c:pt>
                <c:pt idx="20">
                  <c:v>748</c:v>
                </c:pt>
                <c:pt idx="21">
                  <c:v>753</c:v>
                </c:pt>
                <c:pt idx="22">
                  <c:v>744</c:v>
                </c:pt>
                <c:pt idx="23">
                  <c:v>735</c:v>
                </c:pt>
                <c:pt idx="24">
                  <c:v>737</c:v>
                </c:pt>
              </c:numCache>
            </c:numRef>
          </c:yVal>
          <c:smooth val="1"/>
        </c:ser>
        <c:axId val="136390912"/>
        <c:axId val="136454144"/>
      </c:scatterChart>
      <c:valAx>
        <c:axId val="136390912"/>
        <c:scaling>
          <c:orientation val="minMax"/>
          <c:max val="2020"/>
          <c:min val="1990"/>
        </c:scaling>
        <c:axPos val="b"/>
        <c:numFmt formatCode="General" sourceLinked="1"/>
        <c:tickLblPos val="nextTo"/>
        <c:crossAx val="136454144"/>
        <c:crosses val="autoZero"/>
        <c:crossBetween val="midCat"/>
      </c:valAx>
      <c:valAx>
        <c:axId val="136454144"/>
        <c:scaling>
          <c:orientation val="minMax"/>
        </c:scaling>
        <c:axPos val="l"/>
        <c:majorGridlines/>
        <c:numFmt formatCode="#,##0" sourceLinked="1"/>
        <c:tickLblPos val="nextTo"/>
        <c:crossAx val="136390912"/>
        <c:crosses val="autoZero"/>
        <c:crossBetween val="midCat"/>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98067949839604"/>
          <c:y val="6.1395094470905902E-2"/>
          <c:w val="0.80530876348789771"/>
          <c:h val="0.80007341181634151"/>
        </c:manualLayout>
      </c:layout>
      <c:scatterChart>
        <c:scatterStyle val="lineMarker"/>
        <c:ser>
          <c:idx val="0"/>
          <c:order val="0"/>
          <c:marker>
            <c:symbol val="none"/>
          </c:marker>
          <c:xVal>
            <c:numRef>
              <c:f>'ORP - analyza'!$A$288:$A$312</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analyza'!$C$288:$C$312</c:f>
              <c:numCache>
                <c:formatCode>#,##0</c:formatCode>
                <c:ptCount val="25"/>
                <c:pt idx="0">
                  <c:v>11</c:v>
                </c:pt>
                <c:pt idx="1">
                  <c:v>7</c:v>
                </c:pt>
                <c:pt idx="2">
                  <c:v>6</c:v>
                </c:pt>
                <c:pt idx="3">
                  <c:v>8</c:v>
                </c:pt>
                <c:pt idx="4">
                  <c:v>6</c:v>
                </c:pt>
                <c:pt idx="5">
                  <c:v>4</c:v>
                </c:pt>
                <c:pt idx="6">
                  <c:v>6</c:v>
                </c:pt>
                <c:pt idx="7">
                  <c:v>8</c:v>
                </c:pt>
                <c:pt idx="8">
                  <c:v>3</c:v>
                </c:pt>
                <c:pt idx="9">
                  <c:v>7</c:v>
                </c:pt>
                <c:pt idx="10">
                  <c:v>9</c:v>
                </c:pt>
                <c:pt idx="11">
                  <c:v>8</c:v>
                </c:pt>
                <c:pt idx="12">
                  <c:v>2</c:v>
                </c:pt>
                <c:pt idx="13">
                  <c:v>3</c:v>
                </c:pt>
                <c:pt idx="14">
                  <c:v>9</c:v>
                </c:pt>
                <c:pt idx="15">
                  <c:v>6</c:v>
                </c:pt>
                <c:pt idx="16">
                  <c:v>5</c:v>
                </c:pt>
                <c:pt idx="17">
                  <c:v>8</c:v>
                </c:pt>
                <c:pt idx="18">
                  <c:v>10</c:v>
                </c:pt>
                <c:pt idx="19">
                  <c:v>6</c:v>
                </c:pt>
                <c:pt idx="20">
                  <c:v>9</c:v>
                </c:pt>
                <c:pt idx="21">
                  <c:v>9</c:v>
                </c:pt>
                <c:pt idx="22">
                  <c:v>8</c:v>
                </c:pt>
                <c:pt idx="23">
                  <c:v>3</c:v>
                </c:pt>
                <c:pt idx="24">
                  <c:v>8</c:v>
                </c:pt>
              </c:numCache>
            </c:numRef>
          </c:yVal>
        </c:ser>
        <c:axId val="138690560"/>
        <c:axId val="138692864"/>
      </c:scatterChart>
      <c:valAx>
        <c:axId val="138690560"/>
        <c:scaling>
          <c:orientation val="minMax"/>
          <c:max val="2016"/>
          <c:min val="1990"/>
        </c:scaling>
        <c:axPos val="b"/>
        <c:numFmt formatCode="General" sourceLinked="1"/>
        <c:tickLblPos val="nextTo"/>
        <c:crossAx val="138692864"/>
        <c:crosses val="autoZero"/>
        <c:crossBetween val="midCat"/>
      </c:valAx>
      <c:valAx>
        <c:axId val="138692864"/>
        <c:scaling>
          <c:orientation val="minMax"/>
        </c:scaling>
        <c:axPos val="l"/>
        <c:majorGridlines/>
        <c:numFmt formatCode="#,##0" sourceLinked="1"/>
        <c:tickLblPos val="nextTo"/>
        <c:crossAx val="138690560"/>
        <c:crosses val="autoZero"/>
        <c:crossBetween val="midCat"/>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758675654045821"/>
          <c:y val="6.0006060100536517E-2"/>
          <c:w val="0.793326038502146"/>
          <c:h val="0.8045966543478667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analyza'!$A$340:$A$364</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analyza'!$D$340:$D$364</c:f>
              <c:numCache>
                <c:formatCode>#,##0</c:formatCode>
                <c:ptCount val="25"/>
                <c:pt idx="0">
                  <c:v>193</c:v>
                </c:pt>
                <c:pt idx="1">
                  <c:v>187</c:v>
                </c:pt>
                <c:pt idx="2">
                  <c:v>181</c:v>
                </c:pt>
                <c:pt idx="3">
                  <c:v>179</c:v>
                </c:pt>
                <c:pt idx="4">
                  <c:v>176</c:v>
                </c:pt>
                <c:pt idx="5">
                  <c:v>171</c:v>
                </c:pt>
                <c:pt idx="6">
                  <c:v>173</c:v>
                </c:pt>
                <c:pt idx="7">
                  <c:v>174</c:v>
                </c:pt>
                <c:pt idx="8">
                  <c:v>176</c:v>
                </c:pt>
                <c:pt idx="9">
                  <c:v>178</c:v>
                </c:pt>
                <c:pt idx="10">
                  <c:v>175</c:v>
                </c:pt>
                <c:pt idx="11">
                  <c:v>176</c:v>
                </c:pt>
                <c:pt idx="12">
                  <c:v>173</c:v>
                </c:pt>
                <c:pt idx="13">
                  <c:v>177</c:v>
                </c:pt>
                <c:pt idx="14">
                  <c:v>182</c:v>
                </c:pt>
                <c:pt idx="15">
                  <c:v>177</c:v>
                </c:pt>
                <c:pt idx="16">
                  <c:v>187</c:v>
                </c:pt>
                <c:pt idx="17">
                  <c:v>190</c:v>
                </c:pt>
                <c:pt idx="18">
                  <c:v>196</c:v>
                </c:pt>
                <c:pt idx="19">
                  <c:v>194</c:v>
                </c:pt>
                <c:pt idx="20">
                  <c:v>204</c:v>
                </c:pt>
                <c:pt idx="21">
                  <c:v>202</c:v>
                </c:pt>
                <c:pt idx="22">
                  <c:v>202</c:v>
                </c:pt>
                <c:pt idx="23">
                  <c:v>196</c:v>
                </c:pt>
                <c:pt idx="24">
                  <c:v>193</c:v>
                </c:pt>
              </c:numCache>
            </c:numRef>
          </c:yVal>
          <c:smooth val="1"/>
        </c:ser>
        <c:axId val="138868608"/>
        <c:axId val="138940800"/>
      </c:scatterChart>
      <c:valAx>
        <c:axId val="138868608"/>
        <c:scaling>
          <c:orientation val="minMax"/>
          <c:max val="2020"/>
          <c:min val="1990"/>
        </c:scaling>
        <c:axPos val="b"/>
        <c:numFmt formatCode="General" sourceLinked="1"/>
        <c:tickLblPos val="nextTo"/>
        <c:crossAx val="138940800"/>
        <c:crosses val="autoZero"/>
        <c:crossBetween val="midCat"/>
      </c:valAx>
      <c:valAx>
        <c:axId val="138940800"/>
        <c:scaling>
          <c:orientation val="minMax"/>
          <c:min val="150"/>
        </c:scaling>
        <c:axPos val="l"/>
        <c:majorGridlines/>
        <c:numFmt formatCode="#,##0" sourceLinked="1"/>
        <c:tickLblPos val="nextTo"/>
        <c:crossAx val="138868608"/>
        <c:crosses val="autoZero"/>
        <c:crossBetween val="midCat"/>
      </c:valAx>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9.9009959418036267E-2"/>
          <c:y val="6.0006060100536517E-2"/>
          <c:w val="0.82540055464107165"/>
          <c:h val="0.80459665434786676"/>
        </c:manualLayout>
      </c:layout>
      <c:scatterChart>
        <c:scatterStyle val="lineMarker"/>
        <c:ser>
          <c:idx val="0"/>
          <c:order val="0"/>
          <c:marker>
            <c:symbol val="none"/>
          </c:marker>
          <c:xVal>
            <c:numRef>
              <c:f>'ORP - analyza'!$A$340:$A$364</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analyza'!$C$340:$C$364</c:f>
              <c:numCache>
                <c:formatCode>#,##0</c:formatCode>
                <c:ptCount val="25"/>
                <c:pt idx="0">
                  <c:v>2</c:v>
                </c:pt>
                <c:pt idx="1">
                  <c:v>3</c:v>
                </c:pt>
                <c:pt idx="2">
                  <c:v>1</c:v>
                </c:pt>
                <c:pt idx="3">
                  <c:v>2</c:v>
                </c:pt>
                <c:pt idx="4">
                  <c:v>0</c:v>
                </c:pt>
                <c:pt idx="5">
                  <c:v>1</c:v>
                </c:pt>
                <c:pt idx="6">
                  <c:v>5</c:v>
                </c:pt>
                <c:pt idx="7">
                  <c:v>2</c:v>
                </c:pt>
                <c:pt idx="8">
                  <c:v>2</c:v>
                </c:pt>
                <c:pt idx="9">
                  <c:v>2</c:v>
                </c:pt>
                <c:pt idx="10">
                  <c:v>1</c:v>
                </c:pt>
                <c:pt idx="11">
                  <c:v>2</c:v>
                </c:pt>
                <c:pt idx="12">
                  <c:v>3</c:v>
                </c:pt>
                <c:pt idx="13">
                  <c:v>1</c:v>
                </c:pt>
                <c:pt idx="14">
                  <c:v>1</c:v>
                </c:pt>
                <c:pt idx="15">
                  <c:v>2</c:v>
                </c:pt>
                <c:pt idx="16">
                  <c:v>4</c:v>
                </c:pt>
                <c:pt idx="17">
                  <c:v>4</c:v>
                </c:pt>
                <c:pt idx="18">
                  <c:v>3</c:v>
                </c:pt>
                <c:pt idx="19">
                  <c:v>0</c:v>
                </c:pt>
                <c:pt idx="20">
                  <c:v>1</c:v>
                </c:pt>
                <c:pt idx="21">
                  <c:v>0</c:v>
                </c:pt>
                <c:pt idx="22">
                  <c:v>4</c:v>
                </c:pt>
                <c:pt idx="23">
                  <c:v>0</c:v>
                </c:pt>
                <c:pt idx="24">
                  <c:v>1</c:v>
                </c:pt>
              </c:numCache>
            </c:numRef>
          </c:yVal>
        </c:ser>
        <c:axId val="139116544"/>
        <c:axId val="139118464"/>
      </c:scatterChart>
      <c:valAx>
        <c:axId val="139116544"/>
        <c:scaling>
          <c:orientation val="minMax"/>
          <c:max val="2016"/>
          <c:min val="1990"/>
        </c:scaling>
        <c:axPos val="b"/>
        <c:numFmt formatCode="General" sourceLinked="1"/>
        <c:tickLblPos val="nextTo"/>
        <c:crossAx val="139118464"/>
        <c:crosses val="autoZero"/>
        <c:crossBetween val="midCat"/>
      </c:valAx>
      <c:valAx>
        <c:axId val="139118464"/>
        <c:scaling>
          <c:orientation val="minMax"/>
        </c:scaling>
        <c:axPos val="l"/>
        <c:majorGridlines/>
        <c:numFmt formatCode="#,##0" sourceLinked="1"/>
        <c:tickLblPos val="nextTo"/>
        <c:crossAx val="139116544"/>
        <c:crosses val="autoZero"/>
        <c:crossBetween val="midCat"/>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0976953570292251"/>
          <c:y val="5.8420005709335178E-2"/>
          <c:w val="0.82187826634498296"/>
          <c:h val="0.8097614715997870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analyza'!$A$366:$A$387</c:f>
              <c:numCache>
                <c:formatCode>General</c:formatCode>
                <c:ptCount val="22"/>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numCache>
            </c:numRef>
          </c:xVal>
          <c:yVal>
            <c:numRef>
              <c:f>'ORP - analyza'!$D$366:$D$387</c:f>
              <c:numCache>
                <c:formatCode>#,##0</c:formatCode>
                <c:ptCount val="22"/>
                <c:pt idx="0">
                  <c:v>50</c:v>
                </c:pt>
                <c:pt idx="1">
                  <c:v>49</c:v>
                </c:pt>
                <c:pt idx="2">
                  <c:v>53</c:v>
                </c:pt>
                <c:pt idx="3">
                  <c:v>51</c:v>
                </c:pt>
                <c:pt idx="4">
                  <c:v>51</c:v>
                </c:pt>
                <c:pt idx="5">
                  <c:v>47</c:v>
                </c:pt>
                <c:pt idx="6">
                  <c:v>51</c:v>
                </c:pt>
                <c:pt idx="7">
                  <c:v>45</c:v>
                </c:pt>
                <c:pt idx="8">
                  <c:v>51</c:v>
                </c:pt>
                <c:pt idx="9">
                  <c:v>50</c:v>
                </c:pt>
                <c:pt idx="10">
                  <c:v>49</c:v>
                </c:pt>
                <c:pt idx="11">
                  <c:v>45</c:v>
                </c:pt>
                <c:pt idx="12">
                  <c:v>52</c:v>
                </c:pt>
                <c:pt idx="13">
                  <c:v>51</c:v>
                </c:pt>
                <c:pt idx="14">
                  <c:v>50</c:v>
                </c:pt>
                <c:pt idx="15">
                  <c:v>46</c:v>
                </c:pt>
                <c:pt idx="16">
                  <c:v>45</c:v>
                </c:pt>
                <c:pt idx="17">
                  <c:v>48</c:v>
                </c:pt>
                <c:pt idx="18">
                  <c:v>52</c:v>
                </c:pt>
                <c:pt idx="19">
                  <c:v>56</c:v>
                </c:pt>
                <c:pt idx="20">
                  <c:v>55</c:v>
                </c:pt>
                <c:pt idx="21">
                  <c:v>56</c:v>
                </c:pt>
              </c:numCache>
            </c:numRef>
          </c:yVal>
          <c:smooth val="1"/>
        </c:ser>
        <c:axId val="139551488"/>
        <c:axId val="139553408"/>
      </c:scatterChart>
      <c:valAx>
        <c:axId val="139551488"/>
        <c:scaling>
          <c:orientation val="minMax"/>
          <c:max val="2020"/>
          <c:min val="1990"/>
        </c:scaling>
        <c:axPos val="b"/>
        <c:numFmt formatCode="General" sourceLinked="1"/>
        <c:tickLblPos val="nextTo"/>
        <c:crossAx val="139553408"/>
        <c:crosses val="autoZero"/>
        <c:crossBetween val="midCat"/>
      </c:valAx>
      <c:valAx>
        <c:axId val="139553408"/>
        <c:scaling>
          <c:orientation val="minMax"/>
          <c:max val="70"/>
          <c:min val="40"/>
        </c:scaling>
        <c:axPos val="l"/>
        <c:majorGridlines/>
        <c:numFmt formatCode="#,##0" sourceLinked="1"/>
        <c:tickLblPos val="nextTo"/>
        <c:crossAx val="139551488"/>
        <c:crosses val="autoZero"/>
        <c:crossBetween val="midCat"/>
      </c:valAx>
    </c:plotArea>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7480856682304162E-2"/>
          <c:y val="5.7658021630038733E-2"/>
          <c:w val="0.82809705599431771"/>
          <c:h val="0.81224279162277635"/>
        </c:manualLayout>
      </c:layout>
      <c:scatterChart>
        <c:scatterStyle val="lineMarker"/>
        <c:ser>
          <c:idx val="0"/>
          <c:order val="0"/>
          <c:marker>
            <c:symbol val="none"/>
          </c:marker>
          <c:xVal>
            <c:numRef>
              <c:f>'ORP - analyza'!$A$366:$A$387</c:f>
              <c:numCache>
                <c:formatCode>General</c:formatCode>
                <c:ptCount val="22"/>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numCache>
            </c:numRef>
          </c:xVal>
          <c:yVal>
            <c:numRef>
              <c:f>'ORP - analyza'!$C$366:$C$387</c:f>
              <c:numCache>
                <c:formatCode>#,##0</c:formatCode>
                <c:ptCount val="22"/>
                <c:pt idx="0">
                  <c:v>0</c:v>
                </c:pt>
                <c:pt idx="1">
                  <c:v>0</c:v>
                </c:pt>
                <c:pt idx="2">
                  <c:v>0</c:v>
                </c:pt>
                <c:pt idx="3">
                  <c:v>0</c:v>
                </c:pt>
                <c:pt idx="4">
                  <c:v>0</c:v>
                </c:pt>
                <c:pt idx="5">
                  <c:v>0</c:v>
                </c:pt>
                <c:pt idx="6">
                  <c:v>1</c:v>
                </c:pt>
                <c:pt idx="7">
                  <c:v>0</c:v>
                </c:pt>
                <c:pt idx="8">
                  <c:v>1</c:v>
                </c:pt>
                <c:pt idx="9">
                  <c:v>0</c:v>
                </c:pt>
                <c:pt idx="10">
                  <c:v>1</c:v>
                </c:pt>
                <c:pt idx="11">
                  <c:v>0</c:v>
                </c:pt>
                <c:pt idx="12">
                  <c:v>1</c:v>
                </c:pt>
                <c:pt idx="13">
                  <c:v>1</c:v>
                </c:pt>
                <c:pt idx="14">
                  <c:v>0</c:v>
                </c:pt>
                <c:pt idx="15">
                  <c:v>1</c:v>
                </c:pt>
                <c:pt idx="16">
                  <c:v>0</c:v>
                </c:pt>
                <c:pt idx="17">
                  <c:v>0</c:v>
                </c:pt>
                <c:pt idx="18">
                  <c:v>1</c:v>
                </c:pt>
                <c:pt idx="19">
                  <c:v>0</c:v>
                </c:pt>
                <c:pt idx="20">
                  <c:v>0</c:v>
                </c:pt>
                <c:pt idx="21">
                  <c:v>1</c:v>
                </c:pt>
              </c:numCache>
            </c:numRef>
          </c:yVal>
        </c:ser>
        <c:axId val="139664000"/>
        <c:axId val="139864320"/>
      </c:scatterChart>
      <c:valAx>
        <c:axId val="139664000"/>
        <c:scaling>
          <c:orientation val="minMax"/>
          <c:max val="2016"/>
          <c:min val="1990"/>
        </c:scaling>
        <c:axPos val="b"/>
        <c:numFmt formatCode="General" sourceLinked="1"/>
        <c:tickLblPos val="nextTo"/>
        <c:crossAx val="139864320"/>
        <c:crosses val="autoZero"/>
        <c:crossBetween val="midCat"/>
      </c:valAx>
      <c:valAx>
        <c:axId val="139864320"/>
        <c:scaling>
          <c:orientation val="minMax"/>
          <c:max val="2"/>
          <c:min val="0"/>
        </c:scaling>
        <c:axPos val="l"/>
        <c:majorGridlines/>
        <c:numFmt formatCode="#,##0" sourceLinked="1"/>
        <c:tickLblPos val="nextTo"/>
        <c:crossAx val="139664000"/>
        <c:crosses val="autoZero"/>
        <c:crossBetween val="midCat"/>
        <c:majorUnit val="1"/>
        <c:minorUnit val="1"/>
      </c:valAx>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265535900412745"/>
          <c:y val="5.8939291718603584E-2"/>
          <c:w val="0.7982574657405872"/>
          <c:h val="0.8080704720008906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analyza'!$A$389:$A$413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analyza'!$D$389:$D$413</c:f>
              <c:numCache>
                <c:formatCode>#,##0</c:formatCode>
                <c:ptCount val="25"/>
                <c:pt idx="0">
                  <c:v>587</c:v>
                </c:pt>
                <c:pt idx="1">
                  <c:v>579</c:v>
                </c:pt>
                <c:pt idx="2">
                  <c:v>572</c:v>
                </c:pt>
                <c:pt idx="3">
                  <c:v>580</c:v>
                </c:pt>
                <c:pt idx="4">
                  <c:v>584</c:v>
                </c:pt>
                <c:pt idx="5">
                  <c:v>592</c:v>
                </c:pt>
                <c:pt idx="6">
                  <c:v>584</c:v>
                </c:pt>
                <c:pt idx="7">
                  <c:v>589</c:v>
                </c:pt>
                <c:pt idx="8">
                  <c:v>592</c:v>
                </c:pt>
                <c:pt idx="9">
                  <c:v>599</c:v>
                </c:pt>
                <c:pt idx="10">
                  <c:v>590</c:v>
                </c:pt>
                <c:pt idx="11">
                  <c:v>586</c:v>
                </c:pt>
                <c:pt idx="12">
                  <c:v>613</c:v>
                </c:pt>
                <c:pt idx="13">
                  <c:v>624</c:v>
                </c:pt>
                <c:pt idx="14">
                  <c:v>622</c:v>
                </c:pt>
                <c:pt idx="15">
                  <c:v>637</c:v>
                </c:pt>
                <c:pt idx="16">
                  <c:v>643</c:v>
                </c:pt>
                <c:pt idx="17">
                  <c:v>652</c:v>
                </c:pt>
                <c:pt idx="18">
                  <c:v>665</c:v>
                </c:pt>
                <c:pt idx="19">
                  <c:v>680</c:v>
                </c:pt>
                <c:pt idx="20">
                  <c:v>677</c:v>
                </c:pt>
                <c:pt idx="21">
                  <c:v>690</c:v>
                </c:pt>
                <c:pt idx="22">
                  <c:v>681</c:v>
                </c:pt>
                <c:pt idx="23">
                  <c:v>675</c:v>
                </c:pt>
                <c:pt idx="24">
                  <c:v>689</c:v>
                </c:pt>
              </c:numCache>
            </c:numRef>
          </c:yVal>
          <c:smooth val="1"/>
        </c:ser>
        <c:axId val="144311040"/>
        <c:axId val="144312576"/>
      </c:scatterChart>
      <c:valAx>
        <c:axId val="144311040"/>
        <c:scaling>
          <c:orientation val="minMax"/>
          <c:max val="2020"/>
          <c:min val="1990"/>
        </c:scaling>
        <c:axPos val="b"/>
        <c:numFmt formatCode="General" sourceLinked="1"/>
        <c:tickLblPos val="nextTo"/>
        <c:crossAx val="144312576"/>
        <c:crosses val="autoZero"/>
        <c:crossBetween val="midCat"/>
      </c:valAx>
      <c:valAx>
        <c:axId val="144312576"/>
        <c:scaling>
          <c:orientation val="minMax"/>
          <c:min val="500"/>
        </c:scaling>
        <c:axPos val="l"/>
        <c:majorGridlines/>
        <c:numFmt formatCode="#,##0" sourceLinked="1"/>
        <c:tickLblPos val="nextTo"/>
        <c:crossAx val="144311040"/>
        <c:crosses val="autoZero"/>
        <c:crossBetween val="midCat"/>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5998266319501466E-2"/>
          <c:y val="6.0006085637257719E-2"/>
          <c:w val="0.83071153494735839"/>
          <c:h val="0.80459657119025207"/>
        </c:manualLayout>
      </c:layout>
      <c:scatterChart>
        <c:scatterStyle val="lineMarker"/>
        <c:ser>
          <c:idx val="0"/>
          <c:order val="0"/>
          <c:tx>
            <c:strRef>
              <c:f>'ORP - analyza'!$C$1</c:f>
              <c:strCache>
                <c:ptCount val="1"/>
                <c:pt idx="0">
                  <c:v>Narození</c:v>
                </c:pt>
              </c:strCache>
            </c:strRef>
          </c:tx>
          <c:marker>
            <c:symbol val="none"/>
          </c:marker>
          <c:xVal>
            <c:numRef>
              <c:f>'ORP - analyza'!$A$2:$A$26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analyza'!$C$2:$C$26</c:f>
              <c:numCache>
                <c:formatCode>#,##0</c:formatCode>
                <c:ptCount val="25"/>
                <c:pt idx="0">
                  <c:v>1</c:v>
                </c:pt>
                <c:pt idx="1">
                  <c:v>4</c:v>
                </c:pt>
                <c:pt idx="2">
                  <c:v>3</c:v>
                </c:pt>
                <c:pt idx="3">
                  <c:v>2</c:v>
                </c:pt>
                <c:pt idx="4">
                  <c:v>2</c:v>
                </c:pt>
                <c:pt idx="5">
                  <c:v>1</c:v>
                </c:pt>
                <c:pt idx="6">
                  <c:v>2</c:v>
                </c:pt>
                <c:pt idx="7">
                  <c:v>0</c:v>
                </c:pt>
                <c:pt idx="8">
                  <c:v>0</c:v>
                </c:pt>
                <c:pt idx="9">
                  <c:v>0</c:v>
                </c:pt>
                <c:pt idx="10">
                  <c:v>2</c:v>
                </c:pt>
                <c:pt idx="11">
                  <c:v>1</c:v>
                </c:pt>
                <c:pt idx="12">
                  <c:v>0</c:v>
                </c:pt>
                <c:pt idx="13">
                  <c:v>0</c:v>
                </c:pt>
                <c:pt idx="14">
                  <c:v>1</c:v>
                </c:pt>
                <c:pt idx="15">
                  <c:v>1</c:v>
                </c:pt>
                <c:pt idx="16">
                  <c:v>0</c:v>
                </c:pt>
                <c:pt idx="17">
                  <c:v>2</c:v>
                </c:pt>
                <c:pt idx="18">
                  <c:v>4</c:v>
                </c:pt>
                <c:pt idx="19">
                  <c:v>1</c:v>
                </c:pt>
                <c:pt idx="20">
                  <c:v>1</c:v>
                </c:pt>
                <c:pt idx="21">
                  <c:v>2</c:v>
                </c:pt>
                <c:pt idx="22">
                  <c:v>0</c:v>
                </c:pt>
                <c:pt idx="23">
                  <c:v>1</c:v>
                </c:pt>
                <c:pt idx="24">
                  <c:v>1</c:v>
                </c:pt>
              </c:numCache>
            </c:numRef>
          </c:yVal>
        </c:ser>
        <c:axId val="95723904"/>
        <c:axId val="95725440"/>
      </c:scatterChart>
      <c:valAx>
        <c:axId val="95723904"/>
        <c:scaling>
          <c:orientation val="minMax"/>
          <c:max val="2016"/>
          <c:min val="1990"/>
        </c:scaling>
        <c:axPos val="b"/>
        <c:numFmt formatCode="General" sourceLinked="1"/>
        <c:tickLblPos val="nextTo"/>
        <c:crossAx val="95725440"/>
        <c:crosses val="autoZero"/>
        <c:crossBetween val="midCat"/>
      </c:valAx>
      <c:valAx>
        <c:axId val="95725440"/>
        <c:scaling>
          <c:orientation val="minMax"/>
          <c:max val="5"/>
          <c:min val="0"/>
        </c:scaling>
        <c:axPos val="l"/>
        <c:majorGridlines/>
        <c:numFmt formatCode="#,##0" sourceLinked="1"/>
        <c:tickLblPos val="nextTo"/>
        <c:crossAx val="95723904"/>
        <c:crosses val="autoZero"/>
        <c:crossBetween val="midCat"/>
        <c:majorUnit val="1"/>
        <c:minorUnit val="1"/>
      </c:valAx>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951741445468916"/>
          <c:y val="6.0278826229724053E-2"/>
          <c:w val="0.80606049822193249"/>
          <c:h val="0.80370842049057833"/>
        </c:manualLayout>
      </c:layout>
      <c:scatterChart>
        <c:scatterStyle val="lineMarker"/>
        <c:ser>
          <c:idx val="0"/>
          <c:order val="0"/>
          <c:marker>
            <c:symbol val="none"/>
          </c:marker>
          <c:xVal>
            <c:numRef>
              <c:f>'ORP - analyza'!$A$389:$A$413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analyza'!$C$389:$C$413</c:f>
              <c:numCache>
                <c:formatCode>#,##0</c:formatCode>
                <c:ptCount val="25"/>
                <c:pt idx="0">
                  <c:v>15</c:v>
                </c:pt>
                <c:pt idx="1">
                  <c:v>6</c:v>
                </c:pt>
                <c:pt idx="2">
                  <c:v>12</c:v>
                </c:pt>
                <c:pt idx="3">
                  <c:v>8</c:v>
                </c:pt>
                <c:pt idx="4">
                  <c:v>4</c:v>
                </c:pt>
                <c:pt idx="5">
                  <c:v>4</c:v>
                </c:pt>
                <c:pt idx="6">
                  <c:v>7</c:v>
                </c:pt>
                <c:pt idx="7">
                  <c:v>7</c:v>
                </c:pt>
                <c:pt idx="8">
                  <c:v>4</c:v>
                </c:pt>
                <c:pt idx="9">
                  <c:v>8</c:v>
                </c:pt>
                <c:pt idx="10">
                  <c:v>5</c:v>
                </c:pt>
                <c:pt idx="11">
                  <c:v>7</c:v>
                </c:pt>
                <c:pt idx="12">
                  <c:v>12</c:v>
                </c:pt>
                <c:pt idx="13">
                  <c:v>4</c:v>
                </c:pt>
                <c:pt idx="14">
                  <c:v>5</c:v>
                </c:pt>
                <c:pt idx="15">
                  <c:v>2</c:v>
                </c:pt>
                <c:pt idx="16">
                  <c:v>10</c:v>
                </c:pt>
                <c:pt idx="17">
                  <c:v>7</c:v>
                </c:pt>
                <c:pt idx="18">
                  <c:v>7</c:v>
                </c:pt>
                <c:pt idx="19">
                  <c:v>8</c:v>
                </c:pt>
                <c:pt idx="20">
                  <c:v>6</c:v>
                </c:pt>
                <c:pt idx="21">
                  <c:v>8</c:v>
                </c:pt>
                <c:pt idx="22">
                  <c:v>4</c:v>
                </c:pt>
                <c:pt idx="23">
                  <c:v>11</c:v>
                </c:pt>
                <c:pt idx="24">
                  <c:v>11</c:v>
                </c:pt>
              </c:numCache>
            </c:numRef>
          </c:yVal>
        </c:ser>
        <c:axId val="144726656"/>
        <c:axId val="144732544"/>
      </c:scatterChart>
      <c:valAx>
        <c:axId val="144726656"/>
        <c:scaling>
          <c:orientation val="minMax"/>
          <c:max val="2016"/>
          <c:min val="1990"/>
        </c:scaling>
        <c:axPos val="b"/>
        <c:numFmt formatCode="General" sourceLinked="1"/>
        <c:tickLblPos val="nextTo"/>
        <c:crossAx val="144732544"/>
        <c:crosses val="autoZero"/>
        <c:crossBetween val="midCat"/>
      </c:valAx>
      <c:valAx>
        <c:axId val="144732544"/>
        <c:scaling>
          <c:orientation val="minMax"/>
        </c:scaling>
        <c:axPos val="l"/>
        <c:majorGridlines/>
        <c:numFmt formatCode="#,##0" sourceLinked="1"/>
        <c:tickLblPos val="nextTo"/>
        <c:crossAx val="144726656"/>
        <c:crosses val="autoZero"/>
        <c:crossBetween val="midCat"/>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analyza'!$A$441:$A$465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analyza'!$D$441:$D$465</c:f>
              <c:numCache>
                <c:formatCode>#,##0</c:formatCode>
                <c:ptCount val="25"/>
                <c:pt idx="0">
                  <c:v>144</c:v>
                </c:pt>
                <c:pt idx="1">
                  <c:v>140</c:v>
                </c:pt>
                <c:pt idx="2">
                  <c:v>137</c:v>
                </c:pt>
                <c:pt idx="3">
                  <c:v>134</c:v>
                </c:pt>
                <c:pt idx="4">
                  <c:v>137</c:v>
                </c:pt>
                <c:pt idx="5">
                  <c:v>138</c:v>
                </c:pt>
                <c:pt idx="6">
                  <c:v>136</c:v>
                </c:pt>
                <c:pt idx="7">
                  <c:v>140</c:v>
                </c:pt>
                <c:pt idx="8">
                  <c:v>139</c:v>
                </c:pt>
                <c:pt idx="9">
                  <c:v>134</c:v>
                </c:pt>
                <c:pt idx="10">
                  <c:v>141</c:v>
                </c:pt>
                <c:pt idx="11">
                  <c:v>142</c:v>
                </c:pt>
                <c:pt idx="12">
                  <c:v>142</c:v>
                </c:pt>
                <c:pt idx="13">
                  <c:v>146</c:v>
                </c:pt>
                <c:pt idx="14">
                  <c:v>144</c:v>
                </c:pt>
                <c:pt idx="15">
                  <c:v>151</c:v>
                </c:pt>
                <c:pt idx="16">
                  <c:v>150</c:v>
                </c:pt>
                <c:pt idx="17">
                  <c:v>147</c:v>
                </c:pt>
                <c:pt idx="18">
                  <c:v>163</c:v>
                </c:pt>
                <c:pt idx="19">
                  <c:v>172</c:v>
                </c:pt>
                <c:pt idx="20">
                  <c:v>176</c:v>
                </c:pt>
                <c:pt idx="21">
                  <c:v>185</c:v>
                </c:pt>
                <c:pt idx="22">
                  <c:v>182</c:v>
                </c:pt>
                <c:pt idx="23">
                  <c:v>175</c:v>
                </c:pt>
                <c:pt idx="24">
                  <c:v>171</c:v>
                </c:pt>
              </c:numCache>
            </c:numRef>
          </c:yVal>
          <c:smooth val="1"/>
        </c:ser>
        <c:axId val="145444864"/>
        <c:axId val="145446400"/>
      </c:scatterChart>
      <c:valAx>
        <c:axId val="145444864"/>
        <c:scaling>
          <c:orientation val="minMax"/>
          <c:max val="2020"/>
          <c:min val="1990"/>
        </c:scaling>
        <c:axPos val="b"/>
        <c:numFmt formatCode="General" sourceLinked="1"/>
        <c:tickLblPos val="nextTo"/>
        <c:crossAx val="145446400"/>
        <c:crosses val="autoZero"/>
        <c:crossBetween val="midCat"/>
      </c:valAx>
      <c:valAx>
        <c:axId val="145446400"/>
        <c:scaling>
          <c:orientation val="minMax"/>
          <c:min val="100"/>
        </c:scaling>
        <c:axPos val="l"/>
        <c:majorGridlines/>
        <c:numFmt formatCode="#,##0" sourceLinked="1"/>
        <c:tickLblPos val="nextTo"/>
        <c:crossAx val="145444864"/>
        <c:crosses val="autoZero"/>
        <c:crossBetween val="midCat"/>
      </c:valAx>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8623222082819956E-2"/>
          <c:y val="6.0278851999134735E-2"/>
          <c:w val="0.82608254789331859"/>
          <c:h val="0.80370833657523566"/>
        </c:manualLayout>
      </c:layout>
      <c:scatterChart>
        <c:scatterStyle val="lineMarker"/>
        <c:ser>
          <c:idx val="0"/>
          <c:order val="0"/>
          <c:marker>
            <c:symbol val="none"/>
          </c:marker>
          <c:xVal>
            <c:numRef>
              <c:f>'ORP - analyza'!$A$441:$A$465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analyza'!$C$441:$C$465</c:f>
              <c:numCache>
                <c:formatCode>#,##0</c:formatCode>
                <c:ptCount val="25"/>
                <c:pt idx="0">
                  <c:v>2</c:v>
                </c:pt>
                <c:pt idx="1">
                  <c:v>1</c:v>
                </c:pt>
                <c:pt idx="2">
                  <c:v>2</c:v>
                </c:pt>
                <c:pt idx="3">
                  <c:v>0</c:v>
                </c:pt>
                <c:pt idx="4">
                  <c:v>2</c:v>
                </c:pt>
                <c:pt idx="5">
                  <c:v>2</c:v>
                </c:pt>
                <c:pt idx="6">
                  <c:v>1</c:v>
                </c:pt>
                <c:pt idx="7">
                  <c:v>0</c:v>
                </c:pt>
                <c:pt idx="8">
                  <c:v>3</c:v>
                </c:pt>
                <c:pt idx="9">
                  <c:v>1</c:v>
                </c:pt>
                <c:pt idx="10">
                  <c:v>2</c:v>
                </c:pt>
                <c:pt idx="11">
                  <c:v>1</c:v>
                </c:pt>
                <c:pt idx="12">
                  <c:v>0</c:v>
                </c:pt>
                <c:pt idx="13">
                  <c:v>1</c:v>
                </c:pt>
                <c:pt idx="14">
                  <c:v>3</c:v>
                </c:pt>
                <c:pt idx="15">
                  <c:v>1</c:v>
                </c:pt>
                <c:pt idx="16">
                  <c:v>2</c:v>
                </c:pt>
                <c:pt idx="17">
                  <c:v>3</c:v>
                </c:pt>
                <c:pt idx="18">
                  <c:v>2</c:v>
                </c:pt>
                <c:pt idx="19">
                  <c:v>0</c:v>
                </c:pt>
                <c:pt idx="20">
                  <c:v>0</c:v>
                </c:pt>
                <c:pt idx="21">
                  <c:v>2</c:v>
                </c:pt>
                <c:pt idx="22">
                  <c:v>1</c:v>
                </c:pt>
                <c:pt idx="23">
                  <c:v>1</c:v>
                </c:pt>
                <c:pt idx="24">
                  <c:v>2</c:v>
                </c:pt>
              </c:numCache>
            </c:numRef>
          </c:yVal>
        </c:ser>
        <c:axId val="146209024"/>
        <c:axId val="147854464"/>
      </c:scatterChart>
      <c:valAx>
        <c:axId val="146209024"/>
        <c:scaling>
          <c:orientation val="minMax"/>
          <c:max val="2016"/>
          <c:min val="1990"/>
        </c:scaling>
        <c:axPos val="b"/>
        <c:numFmt formatCode="General" sourceLinked="1"/>
        <c:tickLblPos val="nextTo"/>
        <c:crossAx val="147854464"/>
        <c:crosses val="autoZero"/>
        <c:crossBetween val="midCat"/>
      </c:valAx>
      <c:valAx>
        <c:axId val="147854464"/>
        <c:scaling>
          <c:orientation val="minMax"/>
          <c:max val="4"/>
          <c:min val="0"/>
        </c:scaling>
        <c:axPos val="l"/>
        <c:majorGridlines/>
        <c:numFmt formatCode="#,##0" sourceLinked="1"/>
        <c:tickLblPos val="nextTo"/>
        <c:crossAx val="146209024"/>
        <c:crosses val="autoZero"/>
        <c:crossBetween val="midCat"/>
        <c:majorUnit val="1"/>
        <c:minorUnit val="1"/>
      </c:valAx>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6229119571822423"/>
          <c:y val="6.0278826229724053E-2"/>
          <c:w val="0.76935650200568562"/>
          <c:h val="0.80370842049057833"/>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analyza'!$A$467:$A$491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analyza'!$D$467:$D$491</c:f>
              <c:numCache>
                <c:formatCode>#,##0</c:formatCode>
                <c:ptCount val="25"/>
                <c:pt idx="0">
                  <c:v>891</c:v>
                </c:pt>
                <c:pt idx="1">
                  <c:v>875</c:v>
                </c:pt>
                <c:pt idx="2">
                  <c:v>859</c:v>
                </c:pt>
                <c:pt idx="3">
                  <c:v>863</c:v>
                </c:pt>
                <c:pt idx="4">
                  <c:v>866</c:v>
                </c:pt>
                <c:pt idx="5">
                  <c:v>873</c:v>
                </c:pt>
                <c:pt idx="6">
                  <c:v>864</c:v>
                </c:pt>
                <c:pt idx="7">
                  <c:v>858</c:v>
                </c:pt>
                <c:pt idx="8">
                  <c:v>863</c:v>
                </c:pt>
                <c:pt idx="9">
                  <c:v>852</c:v>
                </c:pt>
                <c:pt idx="10">
                  <c:v>865</c:v>
                </c:pt>
                <c:pt idx="11">
                  <c:v>873</c:v>
                </c:pt>
                <c:pt idx="12">
                  <c:v>881</c:v>
                </c:pt>
                <c:pt idx="13">
                  <c:v>875</c:v>
                </c:pt>
                <c:pt idx="14">
                  <c:v>885</c:v>
                </c:pt>
                <c:pt idx="15">
                  <c:v>892</c:v>
                </c:pt>
                <c:pt idx="16">
                  <c:v>903</c:v>
                </c:pt>
                <c:pt idx="17">
                  <c:v>922</c:v>
                </c:pt>
                <c:pt idx="18">
                  <c:v>940</c:v>
                </c:pt>
                <c:pt idx="19">
                  <c:v>940</c:v>
                </c:pt>
                <c:pt idx="20">
                  <c:v>969</c:v>
                </c:pt>
                <c:pt idx="21">
                  <c:v>981</c:v>
                </c:pt>
                <c:pt idx="22">
                  <c:v>1013</c:v>
                </c:pt>
                <c:pt idx="23">
                  <c:v>1020</c:v>
                </c:pt>
                <c:pt idx="24">
                  <c:v>1032</c:v>
                </c:pt>
              </c:numCache>
            </c:numRef>
          </c:yVal>
          <c:smooth val="1"/>
        </c:ser>
        <c:axId val="150299776"/>
        <c:axId val="155403392"/>
      </c:scatterChart>
      <c:valAx>
        <c:axId val="150299776"/>
        <c:scaling>
          <c:orientation val="minMax"/>
          <c:max val="2020"/>
          <c:min val="1990"/>
        </c:scaling>
        <c:axPos val="b"/>
        <c:numFmt formatCode="General" sourceLinked="1"/>
        <c:tickLblPos val="nextTo"/>
        <c:crossAx val="155403392"/>
        <c:crosses val="autoZero"/>
        <c:crossBetween val="midCat"/>
      </c:valAx>
      <c:valAx>
        <c:axId val="155403392"/>
        <c:scaling>
          <c:orientation val="minMax"/>
          <c:min val="800"/>
        </c:scaling>
        <c:axPos val="l"/>
        <c:majorGridlines/>
        <c:numFmt formatCode="#,##0" sourceLinked="1"/>
        <c:tickLblPos val="nextTo"/>
        <c:crossAx val="150299776"/>
        <c:crosses val="autoZero"/>
        <c:crossBetween val="midCat"/>
      </c:valAx>
    </c:plotArea>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998067949839604"/>
          <c:y val="6.8711612195212324E-2"/>
          <c:w val="0.80530876348789771"/>
          <c:h val="0.77624795086361043"/>
        </c:manualLayout>
      </c:layout>
      <c:scatterChart>
        <c:scatterStyle val="lineMarker"/>
        <c:ser>
          <c:idx val="0"/>
          <c:order val="0"/>
          <c:marker>
            <c:symbol val="none"/>
          </c:marker>
          <c:xVal>
            <c:numRef>
              <c:f>'ORP - analyza'!$A$467:$A$491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analyza'!$C$467:$C$491</c:f>
              <c:numCache>
                <c:formatCode>#,##0</c:formatCode>
                <c:ptCount val="25"/>
                <c:pt idx="0">
                  <c:v>19</c:v>
                </c:pt>
                <c:pt idx="1">
                  <c:v>7</c:v>
                </c:pt>
                <c:pt idx="2">
                  <c:v>9</c:v>
                </c:pt>
                <c:pt idx="3">
                  <c:v>8</c:v>
                </c:pt>
                <c:pt idx="4">
                  <c:v>8</c:v>
                </c:pt>
                <c:pt idx="5">
                  <c:v>10</c:v>
                </c:pt>
                <c:pt idx="6">
                  <c:v>10</c:v>
                </c:pt>
                <c:pt idx="7">
                  <c:v>5</c:v>
                </c:pt>
                <c:pt idx="8">
                  <c:v>10</c:v>
                </c:pt>
                <c:pt idx="9">
                  <c:v>8</c:v>
                </c:pt>
                <c:pt idx="10">
                  <c:v>7</c:v>
                </c:pt>
                <c:pt idx="11">
                  <c:v>5</c:v>
                </c:pt>
                <c:pt idx="12">
                  <c:v>4</c:v>
                </c:pt>
                <c:pt idx="13">
                  <c:v>6</c:v>
                </c:pt>
                <c:pt idx="14">
                  <c:v>5</c:v>
                </c:pt>
                <c:pt idx="15">
                  <c:v>7</c:v>
                </c:pt>
                <c:pt idx="16">
                  <c:v>15</c:v>
                </c:pt>
                <c:pt idx="17">
                  <c:v>8</c:v>
                </c:pt>
                <c:pt idx="18">
                  <c:v>8</c:v>
                </c:pt>
                <c:pt idx="19">
                  <c:v>11</c:v>
                </c:pt>
                <c:pt idx="20">
                  <c:v>9</c:v>
                </c:pt>
                <c:pt idx="21">
                  <c:v>14</c:v>
                </c:pt>
                <c:pt idx="22">
                  <c:v>17</c:v>
                </c:pt>
                <c:pt idx="23">
                  <c:v>14</c:v>
                </c:pt>
                <c:pt idx="24">
                  <c:v>16</c:v>
                </c:pt>
              </c:numCache>
            </c:numRef>
          </c:yVal>
        </c:ser>
        <c:axId val="187479936"/>
        <c:axId val="187721216"/>
      </c:scatterChart>
      <c:valAx>
        <c:axId val="187479936"/>
        <c:scaling>
          <c:orientation val="minMax"/>
          <c:max val="2016"/>
          <c:min val="1990"/>
        </c:scaling>
        <c:axPos val="b"/>
        <c:numFmt formatCode="General" sourceLinked="1"/>
        <c:tickLblPos val="nextTo"/>
        <c:crossAx val="187721216"/>
        <c:crosses val="autoZero"/>
        <c:crossBetween val="midCat"/>
      </c:valAx>
      <c:valAx>
        <c:axId val="187721216"/>
        <c:scaling>
          <c:orientation val="minMax"/>
        </c:scaling>
        <c:axPos val="l"/>
        <c:majorGridlines/>
        <c:numFmt formatCode="#,##0" sourceLinked="1"/>
        <c:tickLblPos val="nextTo"/>
        <c:crossAx val="187479936"/>
        <c:crosses val="autoZero"/>
        <c:crossBetween val="midCat"/>
      </c:valAx>
    </c:plotArea>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6501625878684947"/>
          <c:y val="6.1395094470905902E-2"/>
          <c:w val="0.7654838281957107"/>
          <c:h val="0.80007341181634151"/>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analyza'!$A$493:$A$517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analyza'!$D$493:$D$517</c:f>
              <c:numCache>
                <c:formatCode>#,##0</c:formatCode>
                <c:ptCount val="25"/>
                <c:pt idx="0">
                  <c:v>680</c:v>
                </c:pt>
                <c:pt idx="1">
                  <c:v>657</c:v>
                </c:pt>
                <c:pt idx="2">
                  <c:v>669</c:v>
                </c:pt>
                <c:pt idx="3">
                  <c:v>670</c:v>
                </c:pt>
                <c:pt idx="4">
                  <c:v>664</c:v>
                </c:pt>
                <c:pt idx="5">
                  <c:v>649</c:v>
                </c:pt>
                <c:pt idx="6">
                  <c:v>666</c:v>
                </c:pt>
                <c:pt idx="7">
                  <c:v>664</c:v>
                </c:pt>
                <c:pt idx="8">
                  <c:v>700</c:v>
                </c:pt>
                <c:pt idx="9">
                  <c:v>715</c:v>
                </c:pt>
                <c:pt idx="10">
                  <c:v>757</c:v>
                </c:pt>
                <c:pt idx="11">
                  <c:v>759</c:v>
                </c:pt>
                <c:pt idx="12">
                  <c:v>744</c:v>
                </c:pt>
                <c:pt idx="13">
                  <c:v>755</c:v>
                </c:pt>
                <c:pt idx="14">
                  <c:v>775</c:v>
                </c:pt>
                <c:pt idx="15">
                  <c:v>788</c:v>
                </c:pt>
                <c:pt idx="16">
                  <c:v>817</c:v>
                </c:pt>
                <c:pt idx="17">
                  <c:v>816</c:v>
                </c:pt>
                <c:pt idx="18">
                  <c:v>852</c:v>
                </c:pt>
                <c:pt idx="19">
                  <c:v>870</c:v>
                </c:pt>
                <c:pt idx="20">
                  <c:v>979</c:v>
                </c:pt>
                <c:pt idx="21">
                  <c:v>1013</c:v>
                </c:pt>
                <c:pt idx="22">
                  <c:v>1042</c:v>
                </c:pt>
                <c:pt idx="23">
                  <c:v>1060</c:v>
                </c:pt>
                <c:pt idx="24">
                  <c:v>1076</c:v>
                </c:pt>
              </c:numCache>
            </c:numRef>
          </c:yVal>
          <c:smooth val="1"/>
        </c:ser>
        <c:axId val="187775232"/>
        <c:axId val="187802368"/>
      </c:scatterChart>
      <c:valAx>
        <c:axId val="187775232"/>
        <c:scaling>
          <c:orientation val="minMax"/>
          <c:max val="2020"/>
          <c:min val="1990"/>
        </c:scaling>
        <c:axPos val="b"/>
        <c:numFmt formatCode="General" sourceLinked="1"/>
        <c:tickLblPos val="nextTo"/>
        <c:crossAx val="187802368"/>
        <c:crosses val="autoZero"/>
        <c:crossBetween val="midCat"/>
      </c:valAx>
      <c:valAx>
        <c:axId val="187802368"/>
        <c:scaling>
          <c:orientation val="minMax"/>
          <c:min val="600"/>
        </c:scaling>
        <c:axPos val="l"/>
        <c:majorGridlines/>
        <c:numFmt formatCode="#,##0" sourceLinked="1"/>
        <c:tickLblPos val="nextTo"/>
        <c:crossAx val="187775232"/>
        <c:crosses val="autoZero"/>
        <c:crossBetween val="midCat"/>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681137467401655"/>
          <c:y val="7.710083114610683E-2"/>
          <c:w val="0.8104515571253551"/>
          <c:h val="0.74892935258092819"/>
        </c:manualLayout>
      </c:layout>
      <c:scatterChart>
        <c:scatterStyle val="lineMarker"/>
        <c:ser>
          <c:idx val="0"/>
          <c:order val="0"/>
          <c:marker>
            <c:symbol val="none"/>
          </c:marker>
          <c:xVal>
            <c:numRef>
              <c:f>'ORP - analyza'!$A$493:$A$517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analyza'!$C$493:$C$517</c:f>
              <c:numCache>
                <c:formatCode>#,##0</c:formatCode>
                <c:ptCount val="25"/>
                <c:pt idx="0">
                  <c:v>8</c:v>
                </c:pt>
                <c:pt idx="1">
                  <c:v>5</c:v>
                </c:pt>
                <c:pt idx="2">
                  <c:v>4</c:v>
                </c:pt>
                <c:pt idx="3">
                  <c:v>5</c:v>
                </c:pt>
                <c:pt idx="4">
                  <c:v>9</c:v>
                </c:pt>
                <c:pt idx="5">
                  <c:v>3</c:v>
                </c:pt>
                <c:pt idx="6">
                  <c:v>1</c:v>
                </c:pt>
                <c:pt idx="7">
                  <c:v>14</c:v>
                </c:pt>
                <c:pt idx="8">
                  <c:v>8</c:v>
                </c:pt>
                <c:pt idx="9">
                  <c:v>11</c:v>
                </c:pt>
                <c:pt idx="10">
                  <c:v>4</c:v>
                </c:pt>
                <c:pt idx="11">
                  <c:v>7</c:v>
                </c:pt>
                <c:pt idx="12">
                  <c:v>7</c:v>
                </c:pt>
                <c:pt idx="13">
                  <c:v>5</c:v>
                </c:pt>
                <c:pt idx="14">
                  <c:v>12</c:v>
                </c:pt>
                <c:pt idx="15">
                  <c:v>11</c:v>
                </c:pt>
                <c:pt idx="16">
                  <c:v>17</c:v>
                </c:pt>
                <c:pt idx="17">
                  <c:v>8</c:v>
                </c:pt>
                <c:pt idx="18">
                  <c:v>13</c:v>
                </c:pt>
                <c:pt idx="19">
                  <c:v>10</c:v>
                </c:pt>
                <c:pt idx="20">
                  <c:v>11</c:v>
                </c:pt>
                <c:pt idx="21">
                  <c:v>12</c:v>
                </c:pt>
                <c:pt idx="22">
                  <c:v>13</c:v>
                </c:pt>
                <c:pt idx="23">
                  <c:v>12</c:v>
                </c:pt>
                <c:pt idx="24">
                  <c:v>10</c:v>
                </c:pt>
              </c:numCache>
            </c:numRef>
          </c:yVal>
        </c:ser>
        <c:axId val="187924864"/>
        <c:axId val="187927168"/>
      </c:scatterChart>
      <c:valAx>
        <c:axId val="187924864"/>
        <c:scaling>
          <c:orientation val="minMax"/>
          <c:max val="2016"/>
          <c:min val="1990"/>
        </c:scaling>
        <c:axPos val="b"/>
        <c:numFmt formatCode="General" sourceLinked="1"/>
        <c:tickLblPos val="nextTo"/>
        <c:crossAx val="187927168"/>
        <c:crosses val="autoZero"/>
        <c:crossBetween val="midCat"/>
      </c:valAx>
      <c:valAx>
        <c:axId val="187927168"/>
        <c:scaling>
          <c:orientation val="minMax"/>
        </c:scaling>
        <c:axPos val="l"/>
        <c:majorGridlines/>
        <c:numFmt formatCode="#,##0" sourceLinked="1"/>
        <c:tickLblPos val="nextTo"/>
        <c:crossAx val="187924864"/>
        <c:crosses val="autoZero"/>
        <c:crossBetween val="midCat"/>
      </c:valAx>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861741178691844"/>
          <c:y val="6.3149258096314206E-2"/>
          <c:w val="0.78919036399047093"/>
          <c:h val="0.79436116474243212"/>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analyza'!$A$571:$A$595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analyza'!$D$571:$D$595</c:f>
              <c:numCache>
                <c:formatCode>#,##0</c:formatCode>
                <c:ptCount val="25"/>
                <c:pt idx="0">
                  <c:v>278</c:v>
                </c:pt>
                <c:pt idx="1">
                  <c:v>275</c:v>
                </c:pt>
                <c:pt idx="2">
                  <c:v>261</c:v>
                </c:pt>
                <c:pt idx="3">
                  <c:v>253</c:v>
                </c:pt>
                <c:pt idx="4">
                  <c:v>249</c:v>
                </c:pt>
                <c:pt idx="5">
                  <c:v>246</c:v>
                </c:pt>
                <c:pt idx="6">
                  <c:v>275</c:v>
                </c:pt>
                <c:pt idx="7">
                  <c:v>270</c:v>
                </c:pt>
                <c:pt idx="8">
                  <c:v>273</c:v>
                </c:pt>
                <c:pt idx="9">
                  <c:v>271</c:v>
                </c:pt>
                <c:pt idx="10">
                  <c:v>263</c:v>
                </c:pt>
                <c:pt idx="11">
                  <c:v>272</c:v>
                </c:pt>
                <c:pt idx="12">
                  <c:v>274</c:v>
                </c:pt>
                <c:pt idx="13">
                  <c:v>281</c:v>
                </c:pt>
                <c:pt idx="14">
                  <c:v>278</c:v>
                </c:pt>
                <c:pt idx="15">
                  <c:v>270</c:v>
                </c:pt>
                <c:pt idx="16">
                  <c:v>277</c:v>
                </c:pt>
                <c:pt idx="17">
                  <c:v>284</c:v>
                </c:pt>
                <c:pt idx="18">
                  <c:v>288</c:v>
                </c:pt>
                <c:pt idx="19">
                  <c:v>283</c:v>
                </c:pt>
                <c:pt idx="20">
                  <c:v>295</c:v>
                </c:pt>
                <c:pt idx="21">
                  <c:v>294</c:v>
                </c:pt>
                <c:pt idx="22">
                  <c:v>297</c:v>
                </c:pt>
                <c:pt idx="23">
                  <c:v>295</c:v>
                </c:pt>
                <c:pt idx="24">
                  <c:v>305</c:v>
                </c:pt>
              </c:numCache>
            </c:numRef>
          </c:yVal>
          <c:smooth val="1"/>
        </c:ser>
        <c:axId val="188038144"/>
        <c:axId val="188142336"/>
      </c:scatterChart>
      <c:valAx>
        <c:axId val="188038144"/>
        <c:scaling>
          <c:orientation val="minMax"/>
          <c:max val="2020"/>
          <c:min val="1990"/>
        </c:scaling>
        <c:axPos val="b"/>
        <c:numFmt formatCode="General" sourceLinked="1"/>
        <c:tickLblPos val="nextTo"/>
        <c:crossAx val="188142336"/>
        <c:crosses val="autoZero"/>
        <c:crossBetween val="midCat"/>
      </c:valAx>
      <c:valAx>
        <c:axId val="188142336"/>
        <c:scaling>
          <c:orientation val="minMax"/>
          <c:min val="200"/>
        </c:scaling>
        <c:axPos val="l"/>
        <c:majorGridlines/>
        <c:numFmt formatCode="#,##0" sourceLinked="1"/>
        <c:tickLblPos val="nextTo"/>
        <c:crossAx val="188038144"/>
        <c:crosses val="autoZero"/>
        <c:crossBetween val="midCat"/>
      </c:valAx>
    </c:plotArea>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3857052652336112E-2"/>
          <c:y val="6.3149258096314206E-2"/>
          <c:w val="0.83448746537778651"/>
          <c:h val="0.79436116474243212"/>
        </c:manualLayout>
      </c:layout>
      <c:scatterChart>
        <c:scatterStyle val="lineMarker"/>
        <c:ser>
          <c:idx val="0"/>
          <c:order val="0"/>
          <c:marker>
            <c:symbol val="none"/>
          </c:marker>
          <c:xVal>
            <c:numRef>
              <c:f>'ORP - analyza'!$A$571:$A$595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analyza'!$C$571:$C$595</c:f>
              <c:numCache>
                <c:formatCode>#,##0</c:formatCode>
                <c:ptCount val="25"/>
                <c:pt idx="0">
                  <c:v>3</c:v>
                </c:pt>
                <c:pt idx="1">
                  <c:v>2</c:v>
                </c:pt>
                <c:pt idx="2">
                  <c:v>2</c:v>
                </c:pt>
                <c:pt idx="3">
                  <c:v>2</c:v>
                </c:pt>
                <c:pt idx="4">
                  <c:v>0</c:v>
                </c:pt>
                <c:pt idx="5">
                  <c:v>1</c:v>
                </c:pt>
                <c:pt idx="6">
                  <c:v>2</c:v>
                </c:pt>
                <c:pt idx="7">
                  <c:v>1</c:v>
                </c:pt>
                <c:pt idx="8">
                  <c:v>7</c:v>
                </c:pt>
                <c:pt idx="9">
                  <c:v>2</c:v>
                </c:pt>
                <c:pt idx="10">
                  <c:v>2</c:v>
                </c:pt>
                <c:pt idx="11">
                  <c:v>4</c:v>
                </c:pt>
                <c:pt idx="12">
                  <c:v>2</c:v>
                </c:pt>
                <c:pt idx="13">
                  <c:v>3</c:v>
                </c:pt>
                <c:pt idx="14">
                  <c:v>3</c:v>
                </c:pt>
                <c:pt idx="15">
                  <c:v>4</c:v>
                </c:pt>
                <c:pt idx="16">
                  <c:v>4</c:v>
                </c:pt>
                <c:pt idx="17">
                  <c:v>2</c:v>
                </c:pt>
                <c:pt idx="18">
                  <c:v>5</c:v>
                </c:pt>
                <c:pt idx="19">
                  <c:v>0</c:v>
                </c:pt>
                <c:pt idx="20">
                  <c:v>4</c:v>
                </c:pt>
                <c:pt idx="21">
                  <c:v>3</c:v>
                </c:pt>
                <c:pt idx="22">
                  <c:v>0</c:v>
                </c:pt>
                <c:pt idx="23">
                  <c:v>3</c:v>
                </c:pt>
                <c:pt idx="24">
                  <c:v>7</c:v>
                </c:pt>
              </c:numCache>
            </c:numRef>
          </c:yVal>
        </c:ser>
        <c:axId val="188577280"/>
        <c:axId val="188578816"/>
      </c:scatterChart>
      <c:valAx>
        <c:axId val="188577280"/>
        <c:scaling>
          <c:orientation val="minMax"/>
          <c:max val="2016"/>
          <c:min val="1990"/>
        </c:scaling>
        <c:axPos val="b"/>
        <c:numFmt formatCode="General" sourceLinked="1"/>
        <c:tickLblPos val="nextTo"/>
        <c:crossAx val="188578816"/>
        <c:crosses val="autoZero"/>
        <c:crossBetween val="midCat"/>
      </c:valAx>
      <c:valAx>
        <c:axId val="188578816"/>
        <c:scaling>
          <c:orientation val="minMax"/>
        </c:scaling>
        <c:axPos val="l"/>
        <c:majorGridlines/>
        <c:numFmt formatCode="#,##0" sourceLinked="1"/>
        <c:tickLblPos val="nextTo"/>
        <c:crossAx val="188577280"/>
        <c:crosses val="autoZero"/>
        <c:crossBetween val="midCat"/>
      </c:valAx>
    </c:plotArea>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171119796207795"/>
          <c:y val="6.5650204839701798E-2"/>
          <c:w val="0.79969334773436451"/>
          <c:h val="0.7862170979575625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analyza'!$A$597:$A$621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analyza'!$D$597:$D$621</c:f>
              <c:numCache>
                <c:formatCode>#,##0</c:formatCode>
                <c:ptCount val="25"/>
                <c:pt idx="0">
                  <c:v>112</c:v>
                </c:pt>
                <c:pt idx="1">
                  <c:v>107</c:v>
                </c:pt>
                <c:pt idx="2">
                  <c:v>102</c:v>
                </c:pt>
                <c:pt idx="3">
                  <c:v>96</c:v>
                </c:pt>
                <c:pt idx="4">
                  <c:v>92</c:v>
                </c:pt>
                <c:pt idx="5">
                  <c:v>107</c:v>
                </c:pt>
                <c:pt idx="6">
                  <c:v>108</c:v>
                </c:pt>
                <c:pt idx="7">
                  <c:v>103</c:v>
                </c:pt>
                <c:pt idx="8">
                  <c:v>98</c:v>
                </c:pt>
                <c:pt idx="9">
                  <c:v>95</c:v>
                </c:pt>
                <c:pt idx="10">
                  <c:v>105</c:v>
                </c:pt>
                <c:pt idx="11">
                  <c:v>101</c:v>
                </c:pt>
                <c:pt idx="12">
                  <c:v>105</c:v>
                </c:pt>
                <c:pt idx="13">
                  <c:v>103</c:v>
                </c:pt>
                <c:pt idx="14">
                  <c:v>106</c:v>
                </c:pt>
                <c:pt idx="15">
                  <c:v>113</c:v>
                </c:pt>
                <c:pt idx="16">
                  <c:v>112</c:v>
                </c:pt>
                <c:pt idx="17">
                  <c:v>120</c:v>
                </c:pt>
                <c:pt idx="18">
                  <c:v>125</c:v>
                </c:pt>
                <c:pt idx="19">
                  <c:v>119</c:v>
                </c:pt>
                <c:pt idx="20">
                  <c:v>123</c:v>
                </c:pt>
                <c:pt idx="21">
                  <c:v>121</c:v>
                </c:pt>
                <c:pt idx="22">
                  <c:v>125</c:v>
                </c:pt>
                <c:pt idx="23">
                  <c:v>127</c:v>
                </c:pt>
                <c:pt idx="24">
                  <c:v>126</c:v>
                </c:pt>
              </c:numCache>
            </c:numRef>
          </c:yVal>
          <c:smooth val="1"/>
        </c:ser>
        <c:axId val="196551808"/>
        <c:axId val="196553344"/>
      </c:scatterChart>
      <c:valAx>
        <c:axId val="196551808"/>
        <c:scaling>
          <c:orientation val="minMax"/>
          <c:max val="2020"/>
          <c:min val="1990"/>
        </c:scaling>
        <c:axPos val="b"/>
        <c:numFmt formatCode="General" sourceLinked="1"/>
        <c:tickLblPos val="nextTo"/>
        <c:crossAx val="196553344"/>
        <c:crosses val="autoZero"/>
        <c:crossBetween val="midCat"/>
      </c:valAx>
      <c:valAx>
        <c:axId val="196553344"/>
        <c:scaling>
          <c:orientation val="minMax"/>
          <c:min val="80"/>
        </c:scaling>
        <c:axPos val="l"/>
        <c:majorGridlines/>
        <c:numFmt formatCode="#,##0" sourceLinked="1"/>
        <c:tickLblPos val="nextTo"/>
        <c:crossAx val="196551808"/>
        <c:crosses val="autoZero"/>
        <c:crossBetween val="midCat"/>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215585435219816"/>
          <c:y val="6.1395094470905902E-2"/>
          <c:w val="0.81800601515852722"/>
          <c:h val="0.80007341181634151"/>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analyza'!$A$28:$A$52</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analyza'!$D$28:$D$52</c:f>
              <c:numCache>
                <c:formatCode>#,##0</c:formatCode>
                <c:ptCount val="25"/>
                <c:pt idx="0">
                  <c:v>35</c:v>
                </c:pt>
                <c:pt idx="1">
                  <c:v>35</c:v>
                </c:pt>
                <c:pt idx="2">
                  <c:v>35</c:v>
                </c:pt>
                <c:pt idx="3">
                  <c:v>34</c:v>
                </c:pt>
                <c:pt idx="4">
                  <c:v>33</c:v>
                </c:pt>
                <c:pt idx="5">
                  <c:v>33</c:v>
                </c:pt>
                <c:pt idx="6">
                  <c:v>32</c:v>
                </c:pt>
                <c:pt idx="7">
                  <c:v>31</c:v>
                </c:pt>
                <c:pt idx="8">
                  <c:v>31</c:v>
                </c:pt>
                <c:pt idx="9">
                  <c:v>30</c:v>
                </c:pt>
                <c:pt idx="10">
                  <c:v>26</c:v>
                </c:pt>
                <c:pt idx="11">
                  <c:v>25</c:v>
                </c:pt>
                <c:pt idx="12">
                  <c:v>25</c:v>
                </c:pt>
                <c:pt idx="13">
                  <c:v>25</c:v>
                </c:pt>
                <c:pt idx="14">
                  <c:v>27</c:v>
                </c:pt>
                <c:pt idx="15">
                  <c:v>27</c:v>
                </c:pt>
                <c:pt idx="16">
                  <c:v>27</c:v>
                </c:pt>
                <c:pt idx="17">
                  <c:v>26</c:v>
                </c:pt>
                <c:pt idx="18">
                  <c:v>27</c:v>
                </c:pt>
                <c:pt idx="19">
                  <c:v>27</c:v>
                </c:pt>
                <c:pt idx="20">
                  <c:v>27</c:v>
                </c:pt>
                <c:pt idx="21">
                  <c:v>29</c:v>
                </c:pt>
                <c:pt idx="22">
                  <c:v>30</c:v>
                </c:pt>
                <c:pt idx="23">
                  <c:v>28</c:v>
                </c:pt>
                <c:pt idx="24">
                  <c:v>29</c:v>
                </c:pt>
              </c:numCache>
            </c:numRef>
          </c:yVal>
          <c:smooth val="1"/>
        </c:ser>
        <c:axId val="95786112"/>
        <c:axId val="95802496"/>
      </c:scatterChart>
      <c:valAx>
        <c:axId val="95786112"/>
        <c:scaling>
          <c:orientation val="minMax"/>
          <c:max val="2020"/>
          <c:min val="1990"/>
        </c:scaling>
        <c:axPos val="b"/>
        <c:numFmt formatCode="General" sourceLinked="1"/>
        <c:tickLblPos val="nextTo"/>
        <c:crossAx val="95802496"/>
        <c:crosses val="autoZero"/>
        <c:crossBetween val="midCat"/>
      </c:valAx>
      <c:valAx>
        <c:axId val="95802496"/>
        <c:scaling>
          <c:orientation val="minMax"/>
          <c:min val="20"/>
        </c:scaling>
        <c:axPos val="l"/>
        <c:majorGridlines/>
        <c:numFmt formatCode="#,##0" sourceLinked="1"/>
        <c:tickLblPos val="nextTo"/>
        <c:crossAx val="95786112"/>
        <c:crosses val="autoZero"/>
        <c:crossBetween val="midCat"/>
      </c:valAx>
    </c:plotArea>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3857019837009212E-2"/>
          <c:y val="6.630670318342903E-2"/>
          <c:w val="0.83448752324608522"/>
          <c:h val="0.78407928100100066"/>
        </c:manualLayout>
      </c:layout>
      <c:scatterChart>
        <c:scatterStyle val="lineMarker"/>
        <c:ser>
          <c:idx val="0"/>
          <c:order val="0"/>
          <c:marker>
            <c:symbol val="none"/>
          </c:marker>
          <c:xVal>
            <c:numRef>
              <c:f>'ORP - analyza'!$A$597:$A$621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analyza'!$C$597:$C$621</c:f>
              <c:numCache>
                <c:formatCode>#,##0</c:formatCode>
                <c:ptCount val="25"/>
                <c:pt idx="0">
                  <c:v>2</c:v>
                </c:pt>
                <c:pt idx="1">
                  <c:v>2</c:v>
                </c:pt>
                <c:pt idx="2">
                  <c:v>1</c:v>
                </c:pt>
                <c:pt idx="3">
                  <c:v>0</c:v>
                </c:pt>
                <c:pt idx="4">
                  <c:v>1</c:v>
                </c:pt>
                <c:pt idx="5">
                  <c:v>0</c:v>
                </c:pt>
                <c:pt idx="6">
                  <c:v>0</c:v>
                </c:pt>
                <c:pt idx="7">
                  <c:v>2</c:v>
                </c:pt>
                <c:pt idx="8">
                  <c:v>1</c:v>
                </c:pt>
                <c:pt idx="9">
                  <c:v>0</c:v>
                </c:pt>
                <c:pt idx="10">
                  <c:v>1</c:v>
                </c:pt>
                <c:pt idx="11">
                  <c:v>0</c:v>
                </c:pt>
                <c:pt idx="12">
                  <c:v>2</c:v>
                </c:pt>
                <c:pt idx="13">
                  <c:v>1</c:v>
                </c:pt>
                <c:pt idx="14">
                  <c:v>2</c:v>
                </c:pt>
                <c:pt idx="15">
                  <c:v>4</c:v>
                </c:pt>
                <c:pt idx="16">
                  <c:v>3</c:v>
                </c:pt>
                <c:pt idx="17">
                  <c:v>2</c:v>
                </c:pt>
                <c:pt idx="18">
                  <c:v>3</c:v>
                </c:pt>
                <c:pt idx="19">
                  <c:v>2</c:v>
                </c:pt>
                <c:pt idx="20">
                  <c:v>1</c:v>
                </c:pt>
                <c:pt idx="21">
                  <c:v>1</c:v>
                </c:pt>
                <c:pt idx="22">
                  <c:v>1</c:v>
                </c:pt>
                <c:pt idx="23">
                  <c:v>1</c:v>
                </c:pt>
                <c:pt idx="24">
                  <c:v>2</c:v>
                </c:pt>
              </c:numCache>
            </c:numRef>
          </c:yVal>
        </c:ser>
        <c:axId val="197064576"/>
        <c:axId val="220275072"/>
      </c:scatterChart>
      <c:valAx>
        <c:axId val="197064576"/>
        <c:scaling>
          <c:orientation val="minMax"/>
          <c:max val="2016"/>
          <c:min val="1990"/>
        </c:scaling>
        <c:axPos val="b"/>
        <c:numFmt formatCode="General" sourceLinked="1"/>
        <c:tickLblPos val="nextTo"/>
        <c:crossAx val="220275072"/>
        <c:crosses val="autoZero"/>
        <c:crossBetween val="midCat"/>
      </c:valAx>
      <c:valAx>
        <c:axId val="220275072"/>
        <c:scaling>
          <c:orientation val="minMax"/>
          <c:max val="5"/>
          <c:min val="0"/>
        </c:scaling>
        <c:axPos val="l"/>
        <c:majorGridlines/>
        <c:numFmt formatCode="#,##0" sourceLinked="1"/>
        <c:tickLblPos val="nextTo"/>
        <c:crossAx val="197064576"/>
        <c:crosses val="autoZero"/>
        <c:crossBetween val="midCat"/>
        <c:majorUnit val="1"/>
        <c:minorUnit val="1"/>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758675654045821"/>
          <c:y val="6.630670318342903E-2"/>
          <c:w val="0.79075778654263629"/>
          <c:h val="0.7840792810010006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analyza'!$A$623:$A$647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analyza'!$D$623:$D$647</c:f>
              <c:numCache>
                <c:formatCode>#,##0</c:formatCode>
                <c:ptCount val="25"/>
                <c:pt idx="0">
                  <c:v>157</c:v>
                </c:pt>
                <c:pt idx="1">
                  <c:v>162</c:v>
                </c:pt>
                <c:pt idx="2">
                  <c:v>161</c:v>
                </c:pt>
                <c:pt idx="3">
                  <c:v>155</c:v>
                </c:pt>
                <c:pt idx="4">
                  <c:v>154</c:v>
                </c:pt>
                <c:pt idx="5">
                  <c:v>155</c:v>
                </c:pt>
                <c:pt idx="6">
                  <c:v>158</c:v>
                </c:pt>
                <c:pt idx="7">
                  <c:v>162</c:v>
                </c:pt>
                <c:pt idx="8">
                  <c:v>170</c:v>
                </c:pt>
                <c:pt idx="9">
                  <c:v>166</c:v>
                </c:pt>
                <c:pt idx="10">
                  <c:v>180</c:v>
                </c:pt>
                <c:pt idx="11">
                  <c:v>171</c:v>
                </c:pt>
                <c:pt idx="12">
                  <c:v>174</c:v>
                </c:pt>
                <c:pt idx="13">
                  <c:v>166</c:v>
                </c:pt>
                <c:pt idx="14">
                  <c:v>164</c:v>
                </c:pt>
                <c:pt idx="15">
                  <c:v>160</c:v>
                </c:pt>
                <c:pt idx="16">
                  <c:v>163</c:v>
                </c:pt>
                <c:pt idx="17">
                  <c:v>168</c:v>
                </c:pt>
                <c:pt idx="18">
                  <c:v>168</c:v>
                </c:pt>
                <c:pt idx="19">
                  <c:v>169</c:v>
                </c:pt>
                <c:pt idx="20">
                  <c:v>169</c:v>
                </c:pt>
                <c:pt idx="21">
                  <c:v>171</c:v>
                </c:pt>
                <c:pt idx="22">
                  <c:v>165</c:v>
                </c:pt>
                <c:pt idx="23">
                  <c:v>174</c:v>
                </c:pt>
                <c:pt idx="24">
                  <c:v>183</c:v>
                </c:pt>
              </c:numCache>
            </c:numRef>
          </c:yVal>
          <c:smooth val="1"/>
        </c:ser>
        <c:axId val="220685824"/>
        <c:axId val="220766208"/>
      </c:scatterChart>
      <c:valAx>
        <c:axId val="220685824"/>
        <c:scaling>
          <c:orientation val="minMax"/>
          <c:max val="2020"/>
          <c:min val="1990"/>
        </c:scaling>
        <c:axPos val="b"/>
        <c:numFmt formatCode="General" sourceLinked="1"/>
        <c:tickLblPos val="nextTo"/>
        <c:crossAx val="220766208"/>
        <c:crosses val="autoZero"/>
        <c:crossBetween val="midCat"/>
      </c:valAx>
      <c:valAx>
        <c:axId val="220766208"/>
        <c:scaling>
          <c:orientation val="minMax"/>
        </c:scaling>
        <c:axPos val="l"/>
        <c:majorGridlines/>
        <c:numFmt formatCode="#,##0" sourceLinked="1"/>
        <c:tickLblPos val="nextTo"/>
        <c:crossAx val="220685824"/>
        <c:crosses val="autoZero"/>
        <c:crossBetween val="midCat"/>
      </c:valAx>
    </c:plotArea>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3857019837009212E-2"/>
          <c:y val="6.8006881620026424E-2"/>
          <c:w val="0.83448752324608522"/>
          <c:h val="0.7785428309464546"/>
        </c:manualLayout>
      </c:layout>
      <c:scatterChart>
        <c:scatterStyle val="lineMarker"/>
        <c:ser>
          <c:idx val="0"/>
          <c:order val="0"/>
          <c:marker>
            <c:symbol val="none"/>
          </c:marker>
          <c:xVal>
            <c:numRef>
              <c:f>'ORP - analyza'!$A$623:$A$647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analyza'!$C$623:$C$647</c:f>
              <c:numCache>
                <c:formatCode>#,##0</c:formatCode>
                <c:ptCount val="25"/>
                <c:pt idx="0">
                  <c:v>1</c:v>
                </c:pt>
                <c:pt idx="1">
                  <c:v>1</c:v>
                </c:pt>
                <c:pt idx="2">
                  <c:v>0</c:v>
                </c:pt>
                <c:pt idx="3">
                  <c:v>1</c:v>
                </c:pt>
                <c:pt idx="4">
                  <c:v>0</c:v>
                </c:pt>
                <c:pt idx="5">
                  <c:v>1</c:v>
                </c:pt>
                <c:pt idx="6">
                  <c:v>0</c:v>
                </c:pt>
                <c:pt idx="7">
                  <c:v>3</c:v>
                </c:pt>
                <c:pt idx="8">
                  <c:v>1</c:v>
                </c:pt>
                <c:pt idx="9">
                  <c:v>1</c:v>
                </c:pt>
                <c:pt idx="10">
                  <c:v>4</c:v>
                </c:pt>
                <c:pt idx="11">
                  <c:v>0</c:v>
                </c:pt>
                <c:pt idx="12">
                  <c:v>3</c:v>
                </c:pt>
                <c:pt idx="13">
                  <c:v>1</c:v>
                </c:pt>
                <c:pt idx="14">
                  <c:v>1</c:v>
                </c:pt>
                <c:pt idx="15">
                  <c:v>0</c:v>
                </c:pt>
                <c:pt idx="16">
                  <c:v>0</c:v>
                </c:pt>
                <c:pt idx="17">
                  <c:v>5</c:v>
                </c:pt>
                <c:pt idx="18">
                  <c:v>1</c:v>
                </c:pt>
                <c:pt idx="19">
                  <c:v>3</c:v>
                </c:pt>
                <c:pt idx="20">
                  <c:v>0</c:v>
                </c:pt>
                <c:pt idx="21">
                  <c:v>1</c:v>
                </c:pt>
                <c:pt idx="22">
                  <c:v>1</c:v>
                </c:pt>
                <c:pt idx="23">
                  <c:v>2</c:v>
                </c:pt>
                <c:pt idx="24">
                  <c:v>5</c:v>
                </c:pt>
              </c:numCache>
            </c:numRef>
          </c:yVal>
        </c:ser>
        <c:axId val="221662208"/>
        <c:axId val="221664384"/>
      </c:scatterChart>
      <c:valAx>
        <c:axId val="221662208"/>
        <c:scaling>
          <c:orientation val="minMax"/>
          <c:max val="2016"/>
          <c:min val="1990"/>
        </c:scaling>
        <c:axPos val="b"/>
        <c:numFmt formatCode="General" sourceLinked="1"/>
        <c:tickLblPos val="nextTo"/>
        <c:crossAx val="221664384"/>
        <c:crosses val="autoZero"/>
        <c:crossBetween val="midCat"/>
      </c:valAx>
      <c:valAx>
        <c:axId val="221664384"/>
        <c:scaling>
          <c:orientation val="minMax"/>
        </c:scaling>
        <c:axPos val="l"/>
        <c:majorGridlines/>
        <c:numFmt formatCode="#,##0" sourceLinked="1"/>
        <c:tickLblPos val="nextTo"/>
        <c:crossAx val="221662208"/>
        <c:crosses val="autoZero"/>
        <c:crossBetween val="midCat"/>
      </c:valAx>
    </c:plotArea>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758675654045821"/>
          <c:y val="6.597683637602339E-2"/>
          <c:w val="0.79075778654263629"/>
          <c:h val="0.78515345713718865"/>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analyza'!$A$751:$A$775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analyza'!$D$751:$D$775</c:f>
              <c:numCache>
                <c:formatCode>#,##0</c:formatCode>
                <c:ptCount val="25"/>
                <c:pt idx="0">
                  <c:v>319</c:v>
                </c:pt>
                <c:pt idx="1">
                  <c:v>304</c:v>
                </c:pt>
                <c:pt idx="2">
                  <c:v>296</c:v>
                </c:pt>
                <c:pt idx="3">
                  <c:v>304</c:v>
                </c:pt>
                <c:pt idx="4">
                  <c:v>304</c:v>
                </c:pt>
                <c:pt idx="5">
                  <c:v>304</c:v>
                </c:pt>
                <c:pt idx="6">
                  <c:v>310</c:v>
                </c:pt>
                <c:pt idx="7">
                  <c:v>313</c:v>
                </c:pt>
                <c:pt idx="8">
                  <c:v>316</c:v>
                </c:pt>
                <c:pt idx="9">
                  <c:v>316</c:v>
                </c:pt>
                <c:pt idx="10">
                  <c:v>317</c:v>
                </c:pt>
                <c:pt idx="11">
                  <c:v>317</c:v>
                </c:pt>
                <c:pt idx="12">
                  <c:v>322</c:v>
                </c:pt>
                <c:pt idx="13">
                  <c:v>338</c:v>
                </c:pt>
                <c:pt idx="14">
                  <c:v>334</c:v>
                </c:pt>
                <c:pt idx="15">
                  <c:v>339</c:v>
                </c:pt>
                <c:pt idx="16">
                  <c:v>337</c:v>
                </c:pt>
                <c:pt idx="17">
                  <c:v>368</c:v>
                </c:pt>
                <c:pt idx="18">
                  <c:v>373</c:v>
                </c:pt>
                <c:pt idx="19">
                  <c:v>390</c:v>
                </c:pt>
                <c:pt idx="20">
                  <c:v>401</c:v>
                </c:pt>
                <c:pt idx="21">
                  <c:v>404</c:v>
                </c:pt>
                <c:pt idx="22">
                  <c:v>397</c:v>
                </c:pt>
                <c:pt idx="23">
                  <c:v>388</c:v>
                </c:pt>
                <c:pt idx="24">
                  <c:v>383</c:v>
                </c:pt>
              </c:numCache>
            </c:numRef>
          </c:yVal>
          <c:smooth val="1"/>
        </c:ser>
        <c:axId val="132757376"/>
        <c:axId val="132758912"/>
      </c:scatterChart>
      <c:valAx>
        <c:axId val="132757376"/>
        <c:scaling>
          <c:orientation val="minMax"/>
          <c:max val="2020"/>
          <c:min val="1990"/>
        </c:scaling>
        <c:axPos val="b"/>
        <c:numFmt formatCode="General" sourceLinked="1"/>
        <c:tickLblPos val="nextTo"/>
        <c:crossAx val="132758912"/>
        <c:crosses val="autoZero"/>
        <c:crossBetween val="midCat"/>
      </c:valAx>
      <c:valAx>
        <c:axId val="132758912"/>
        <c:scaling>
          <c:orientation val="minMax"/>
          <c:min val="250"/>
        </c:scaling>
        <c:axPos val="l"/>
        <c:majorGridlines/>
        <c:numFmt formatCode="#,##0" sourceLinked="1"/>
        <c:tickLblPos val="nextTo"/>
        <c:crossAx val="132757376"/>
        <c:crosses val="autoZero"/>
        <c:crossBetween val="midCat"/>
      </c:valAx>
    </c:plotArea>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3857052652336112E-2"/>
          <c:y val="6.597683637602339E-2"/>
          <c:w val="0.83448746537778651"/>
          <c:h val="0.78515345713718865"/>
        </c:manualLayout>
      </c:layout>
      <c:scatterChart>
        <c:scatterStyle val="lineMarker"/>
        <c:ser>
          <c:idx val="0"/>
          <c:order val="0"/>
          <c:marker>
            <c:symbol val="none"/>
          </c:marker>
          <c:xVal>
            <c:numRef>
              <c:f>'ORP - analyza'!$A$751:$A$775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analyza'!$C$751:$C$775</c:f>
              <c:numCache>
                <c:formatCode>#,##0</c:formatCode>
                <c:ptCount val="25"/>
                <c:pt idx="0">
                  <c:v>5</c:v>
                </c:pt>
                <c:pt idx="1">
                  <c:v>1</c:v>
                </c:pt>
                <c:pt idx="2">
                  <c:v>7</c:v>
                </c:pt>
                <c:pt idx="3">
                  <c:v>3</c:v>
                </c:pt>
                <c:pt idx="4">
                  <c:v>3</c:v>
                </c:pt>
                <c:pt idx="5">
                  <c:v>4</c:v>
                </c:pt>
                <c:pt idx="6">
                  <c:v>3</c:v>
                </c:pt>
                <c:pt idx="7">
                  <c:v>2</c:v>
                </c:pt>
                <c:pt idx="8">
                  <c:v>4</c:v>
                </c:pt>
                <c:pt idx="9">
                  <c:v>8</c:v>
                </c:pt>
                <c:pt idx="10">
                  <c:v>7</c:v>
                </c:pt>
                <c:pt idx="11">
                  <c:v>2</c:v>
                </c:pt>
                <c:pt idx="12">
                  <c:v>2</c:v>
                </c:pt>
                <c:pt idx="13">
                  <c:v>4</c:v>
                </c:pt>
                <c:pt idx="14">
                  <c:v>3</c:v>
                </c:pt>
                <c:pt idx="15">
                  <c:v>4</c:v>
                </c:pt>
                <c:pt idx="16">
                  <c:v>1</c:v>
                </c:pt>
                <c:pt idx="17">
                  <c:v>1</c:v>
                </c:pt>
                <c:pt idx="18">
                  <c:v>4</c:v>
                </c:pt>
                <c:pt idx="19">
                  <c:v>3</c:v>
                </c:pt>
                <c:pt idx="20">
                  <c:v>5</c:v>
                </c:pt>
                <c:pt idx="21">
                  <c:v>6</c:v>
                </c:pt>
                <c:pt idx="22">
                  <c:v>5</c:v>
                </c:pt>
                <c:pt idx="23">
                  <c:v>3</c:v>
                </c:pt>
                <c:pt idx="24">
                  <c:v>1</c:v>
                </c:pt>
              </c:numCache>
            </c:numRef>
          </c:yVal>
        </c:ser>
        <c:axId val="136239360"/>
        <c:axId val="136245248"/>
      </c:scatterChart>
      <c:valAx>
        <c:axId val="136239360"/>
        <c:scaling>
          <c:orientation val="minMax"/>
          <c:max val="2016"/>
          <c:min val="1990"/>
        </c:scaling>
        <c:axPos val="b"/>
        <c:numFmt formatCode="General" sourceLinked="1"/>
        <c:tickLblPos val="nextTo"/>
        <c:crossAx val="136245248"/>
        <c:crosses val="autoZero"/>
        <c:crossBetween val="midCat"/>
      </c:valAx>
      <c:valAx>
        <c:axId val="136245248"/>
        <c:scaling>
          <c:orientation val="minMax"/>
        </c:scaling>
        <c:axPos val="l"/>
        <c:majorGridlines/>
        <c:numFmt formatCode="#,##0" sourceLinked="1"/>
        <c:tickLblPos val="nextTo"/>
        <c:crossAx val="136239360"/>
        <c:crosses val="autoZero"/>
        <c:crossBetween val="midCat"/>
      </c:valAx>
    </c:plotArea>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758675654045821"/>
          <c:y val="5.8420005709335178E-2"/>
          <c:w val="0.79075778654263629"/>
          <c:h val="0.8097614715997870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analyza'!$A$829:$A$853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analyza'!$D$829:$D$853</c:f>
              <c:numCache>
                <c:formatCode>#,##0</c:formatCode>
                <c:ptCount val="25"/>
                <c:pt idx="0">
                  <c:v>117</c:v>
                </c:pt>
                <c:pt idx="1">
                  <c:v>104</c:v>
                </c:pt>
                <c:pt idx="2">
                  <c:v>100</c:v>
                </c:pt>
                <c:pt idx="3">
                  <c:v>97</c:v>
                </c:pt>
                <c:pt idx="4">
                  <c:v>96</c:v>
                </c:pt>
                <c:pt idx="5">
                  <c:v>96</c:v>
                </c:pt>
                <c:pt idx="6">
                  <c:v>110</c:v>
                </c:pt>
                <c:pt idx="7">
                  <c:v>109</c:v>
                </c:pt>
                <c:pt idx="8">
                  <c:v>112</c:v>
                </c:pt>
                <c:pt idx="9">
                  <c:v>110</c:v>
                </c:pt>
                <c:pt idx="10">
                  <c:v>114</c:v>
                </c:pt>
                <c:pt idx="11">
                  <c:v>113</c:v>
                </c:pt>
                <c:pt idx="12">
                  <c:v>113</c:v>
                </c:pt>
                <c:pt idx="13">
                  <c:v>107</c:v>
                </c:pt>
                <c:pt idx="14">
                  <c:v>114</c:v>
                </c:pt>
                <c:pt idx="15">
                  <c:v>122</c:v>
                </c:pt>
                <c:pt idx="16">
                  <c:v>130</c:v>
                </c:pt>
                <c:pt idx="17">
                  <c:v>133</c:v>
                </c:pt>
                <c:pt idx="18">
                  <c:v>134</c:v>
                </c:pt>
                <c:pt idx="19">
                  <c:v>132</c:v>
                </c:pt>
                <c:pt idx="20">
                  <c:v>135</c:v>
                </c:pt>
                <c:pt idx="21">
                  <c:v>141</c:v>
                </c:pt>
                <c:pt idx="22">
                  <c:v>144</c:v>
                </c:pt>
                <c:pt idx="23">
                  <c:v>142</c:v>
                </c:pt>
                <c:pt idx="24">
                  <c:v>147</c:v>
                </c:pt>
              </c:numCache>
            </c:numRef>
          </c:yVal>
          <c:smooth val="1"/>
        </c:ser>
        <c:axId val="136269184"/>
        <c:axId val="136295552"/>
      </c:scatterChart>
      <c:valAx>
        <c:axId val="136269184"/>
        <c:scaling>
          <c:orientation val="minMax"/>
          <c:max val="2020"/>
          <c:min val="1990"/>
        </c:scaling>
        <c:axPos val="b"/>
        <c:numFmt formatCode="General" sourceLinked="1"/>
        <c:tickLblPos val="nextTo"/>
        <c:crossAx val="136295552"/>
        <c:crosses val="autoZero"/>
        <c:crossBetween val="midCat"/>
      </c:valAx>
      <c:valAx>
        <c:axId val="136295552"/>
        <c:scaling>
          <c:orientation val="minMax"/>
          <c:min val="80"/>
        </c:scaling>
        <c:axPos val="l"/>
        <c:majorGridlines/>
        <c:numFmt formatCode="#,##0" sourceLinked="1"/>
        <c:tickLblPos val="nextTo"/>
        <c:crossAx val="136269184"/>
        <c:crosses val="autoZero"/>
        <c:crossBetween val="midCat"/>
      </c:valAx>
    </c:plotArea>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3857019837009212E-2"/>
          <c:y val="6.8357414032075237E-2"/>
          <c:w val="0.83448752324608522"/>
          <c:h val="0.77740135946908928"/>
        </c:manualLayout>
      </c:layout>
      <c:scatterChart>
        <c:scatterStyle val="lineMarker"/>
        <c:ser>
          <c:idx val="0"/>
          <c:order val="0"/>
          <c:marker>
            <c:symbol val="none"/>
          </c:marker>
          <c:xVal>
            <c:numRef>
              <c:f>'ORP - analyza'!$A$829:$A$853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analyza'!$C$829:$C$853</c:f>
              <c:numCache>
                <c:formatCode>#,##0</c:formatCode>
                <c:ptCount val="25"/>
                <c:pt idx="0">
                  <c:v>1</c:v>
                </c:pt>
                <c:pt idx="1">
                  <c:v>0</c:v>
                </c:pt>
                <c:pt idx="2">
                  <c:v>1</c:v>
                </c:pt>
                <c:pt idx="3">
                  <c:v>3</c:v>
                </c:pt>
                <c:pt idx="4">
                  <c:v>2</c:v>
                </c:pt>
                <c:pt idx="5">
                  <c:v>1</c:v>
                </c:pt>
                <c:pt idx="6">
                  <c:v>0</c:v>
                </c:pt>
                <c:pt idx="7">
                  <c:v>0</c:v>
                </c:pt>
                <c:pt idx="8">
                  <c:v>0</c:v>
                </c:pt>
                <c:pt idx="9">
                  <c:v>0</c:v>
                </c:pt>
                <c:pt idx="10">
                  <c:v>0</c:v>
                </c:pt>
                <c:pt idx="11">
                  <c:v>1</c:v>
                </c:pt>
                <c:pt idx="12">
                  <c:v>1</c:v>
                </c:pt>
                <c:pt idx="13">
                  <c:v>0</c:v>
                </c:pt>
                <c:pt idx="14">
                  <c:v>3</c:v>
                </c:pt>
                <c:pt idx="15">
                  <c:v>0</c:v>
                </c:pt>
                <c:pt idx="16">
                  <c:v>3</c:v>
                </c:pt>
                <c:pt idx="17">
                  <c:v>0</c:v>
                </c:pt>
                <c:pt idx="18">
                  <c:v>0</c:v>
                </c:pt>
                <c:pt idx="19">
                  <c:v>1</c:v>
                </c:pt>
                <c:pt idx="20">
                  <c:v>2</c:v>
                </c:pt>
                <c:pt idx="21">
                  <c:v>0</c:v>
                </c:pt>
                <c:pt idx="22">
                  <c:v>2</c:v>
                </c:pt>
                <c:pt idx="23">
                  <c:v>1</c:v>
                </c:pt>
                <c:pt idx="24">
                  <c:v>1</c:v>
                </c:pt>
              </c:numCache>
            </c:numRef>
          </c:yVal>
        </c:ser>
        <c:axId val="136413184"/>
        <c:axId val="136414720"/>
      </c:scatterChart>
      <c:valAx>
        <c:axId val="136413184"/>
        <c:scaling>
          <c:orientation val="minMax"/>
          <c:max val="2016"/>
          <c:min val="1990"/>
        </c:scaling>
        <c:axPos val="b"/>
        <c:numFmt formatCode="General" sourceLinked="1"/>
        <c:tickLblPos val="nextTo"/>
        <c:crossAx val="136414720"/>
        <c:crosses val="autoZero"/>
        <c:crossBetween val="midCat"/>
      </c:valAx>
      <c:valAx>
        <c:axId val="136414720"/>
        <c:scaling>
          <c:orientation val="minMax"/>
          <c:max val="4"/>
          <c:min val="0"/>
        </c:scaling>
        <c:axPos val="l"/>
        <c:majorGridlines/>
        <c:numFmt formatCode="#,##0" sourceLinked="1"/>
        <c:tickLblPos val="nextTo"/>
        <c:crossAx val="136413184"/>
        <c:crosses val="autoZero"/>
        <c:crossBetween val="midCat"/>
        <c:majorUnit val="1"/>
        <c:minorUnit val="1"/>
      </c:valAx>
    </c:plotArea>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361315406426491"/>
          <c:y val="6.630670318342903E-2"/>
          <c:w val="0.7968008491049392"/>
          <c:h val="0.7840792810010006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analyza'!$A$907:$A$931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analyza'!$D$907:$D$931</c:f>
              <c:numCache>
                <c:formatCode>#,##0</c:formatCode>
                <c:ptCount val="25"/>
                <c:pt idx="0">
                  <c:v>283</c:v>
                </c:pt>
                <c:pt idx="1">
                  <c:v>272</c:v>
                </c:pt>
                <c:pt idx="2">
                  <c:v>273</c:v>
                </c:pt>
                <c:pt idx="3">
                  <c:v>280</c:v>
                </c:pt>
                <c:pt idx="4">
                  <c:v>287</c:v>
                </c:pt>
                <c:pt idx="5">
                  <c:v>280</c:v>
                </c:pt>
                <c:pt idx="6">
                  <c:v>277</c:v>
                </c:pt>
                <c:pt idx="7">
                  <c:v>259</c:v>
                </c:pt>
                <c:pt idx="8">
                  <c:v>258</c:v>
                </c:pt>
                <c:pt idx="9">
                  <c:v>253</c:v>
                </c:pt>
                <c:pt idx="10">
                  <c:v>243</c:v>
                </c:pt>
                <c:pt idx="11">
                  <c:v>243</c:v>
                </c:pt>
                <c:pt idx="12">
                  <c:v>244</c:v>
                </c:pt>
                <c:pt idx="13">
                  <c:v>239</c:v>
                </c:pt>
                <c:pt idx="14">
                  <c:v>243</c:v>
                </c:pt>
                <c:pt idx="15">
                  <c:v>242</c:v>
                </c:pt>
                <c:pt idx="16">
                  <c:v>251</c:v>
                </c:pt>
                <c:pt idx="17">
                  <c:v>255</c:v>
                </c:pt>
                <c:pt idx="18">
                  <c:v>259</c:v>
                </c:pt>
                <c:pt idx="19">
                  <c:v>263</c:v>
                </c:pt>
                <c:pt idx="20">
                  <c:v>257</c:v>
                </c:pt>
                <c:pt idx="21">
                  <c:v>261</c:v>
                </c:pt>
                <c:pt idx="22">
                  <c:v>267</c:v>
                </c:pt>
                <c:pt idx="23">
                  <c:v>276</c:v>
                </c:pt>
                <c:pt idx="24">
                  <c:v>280</c:v>
                </c:pt>
              </c:numCache>
            </c:numRef>
          </c:yVal>
          <c:smooth val="1"/>
        </c:ser>
        <c:axId val="136426624"/>
        <c:axId val="136428160"/>
      </c:scatterChart>
      <c:valAx>
        <c:axId val="136426624"/>
        <c:scaling>
          <c:orientation val="minMax"/>
          <c:max val="2020"/>
          <c:min val="1990"/>
        </c:scaling>
        <c:axPos val="b"/>
        <c:numFmt formatCode="General" sourceLinked="1"/>
        <c:tickLblPos val="nextTo"/>
        <c:crossAx val="136428160"/>
        <c:crosses val="autoZero"/>
        <c:crossBetween val="midCat"/>
      </c:valAx>
      <c:valAx>
        <c:axId val="136428160"/>
        <c:scaling>
          <c:orientation val="minMax"/>
          <c:min val="200"/>
        </c:scaling>
        <c:axPos val="l"/>
        <c:majorGridlines/>
        <c:numFmt formatCode="#,##0" sourceLinked="1"/>
        <c:tickLblPos val="nextTo"/>
        <c:crossAx val="136426624"/>
        <c:crosses val="autoZero"/>
        <c:crossBetween val="midCat"/>
      </c:valAx>
    </c:plotArea>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8239494219171941E-2"/>
          <c:y val="6.630670318342903E-2"/>
          <c:w val="0.8267592340828247"/>
          <c:h val="0.78407928100100066"/>
        </c:manualLayout>
      </c:layout>
      <c:scatterChart>
        <c:scatterStyle val="lineMarker"/>
        <c:ser>
          <c:idx val="0"/>
          <c:order val="0"/>
          <c:marker>
            <c:symbol val="none"/>
          </c:marker>
          <c:xVal>
            <c:numRef>
              <c:f>'ORP - analyza'!$A$907:$A$931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analyza'!$C$907:$C$931</c:f>
              <c:numCache>
                <c:formatCode>#,##0</c:formatCode>
                <c:ptCount val="25"/>
                <c:pt idx="0">
                  <c:v>1</c:v>
                </c:pt>
                <c:pt idx="1">
                  <c:v>3</c:v>
                </c:pt>
                <c:pt idx="2">
                  <c:v>2</c:v>
                </c:pt>
                <c:pt idx="3">
                  <c:v>3</c:v>
                </c:pt>
                <c:pt idx="4">
                  <c:v>1</c:v>
                </c:pt>
                <c:pt idx="5">
                  <c:v>1</c:v>
                </c:pt>
                <c:pt idx="6">
                  <c:v>3</c:v>
                </c:pt>
                <c:pt idx="7">
                  <c:v>0</c:v>
                </c:pt>
                <c:pt idx="8">
                  <c:v>0</c:v>
                </c:pt>
                <c:pt idx="9">
                  <c:v>1</c:v>
                </c:pt>
                <c:pt idx="10">
                  <c:v>2</c:v>
                </c:pt>
                <c:pt idx="11">
                  <c:v>1</c:v>
                </c:pt>
                <c:pt idx="12">
                  <c:v>0</c:v>
                </c:pt>
                <c:pt idx="13">
                  <c:v>1</c:v>
                </c:pt>
                <c:pt idx="14">
                  <c:v>1</c:v>
                </c:pt>
                <c:pt idx="15">
                  <c:v>3</c:v>
                </c:pt>
                <c:pt idx="16">
                  <c:v>4</c:v>
                </c:pt>
                <c:pt idx="17">
                  <c:v>6</c:v>
                </c:pt>
                <c:pt idx="18">
                  <c:v>2</c:v>
                </c:pt>
                <c:pt idx="19">
                  <c:v>5</c:v>
                </c:pt>
                <c:pt idx="20">
                  <c:v>1</c:v>
                </c:pt>
                <c:pt idx="21">
                  <c:v>2</c:v>
                </c:pt>
                <c:pt idx="22">
                  <c:v>2</c:v>
                </c:pt>
                <c:pt idx="23">
                  <c:v>4</c:v>
                </c:pt>
                <c:pt idx="24">
                  <c:v>4</c:v>
                </c:pt>
              </c:numCache>
            </c:numRef>
          </c:yVal>
        </c:ser>
        <c:axId val="136500736"/>
        <c:axId val="136502272"/>
      </c:scatterChart>
      <c:valAx>
        <c:axId val="136500736"/>
        <c:scaling>
          <c:orientation val="minMax"/>
          <c:max val="2016"/>
          <c:min val="1990"/>
        </c:scaling>
        <c:axPos val="b"/>
        <c:numFmt formatCode="General" sourceLinked="1"/>
        <c:tickLblPos val="nextTo"/>
        <c:crossAx val="136502272"/>
        <c:crosses val="autoZero"/>
        <c:crossBetween val="midCat"/>
      </c:valAx>
      <c:valAx>
        <c:axId val="136502272"/>
        <c:scaling>
          <c:orientation val="minMax"/>
        </c:scaling>
        <c:axPos val="l"/>
        <c:majorGridlines/>
        <c:numFmt formatCode="#,##0" sourceLinked="1"/>
        <c:tickLblPos val="nextTo"/>
        <c:crossAx val="136500736"/>
        <c:crosses val="autoZero"/>
        <c:crossBetween val="midCat"/>
      </c:valAx>
    </c:plotArea>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218157029098929"/>
          <c:y val="6.6306734364412007E-2"/>
          <c:w val="0.79897800455944523"/>
          <c:h val="0.78407917946344974"/>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analyza'!$A$933:$A$957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analyza'!$D$933:$D$957</c:f>
              <c:numCache>
                <c:formatCode>#,##0</c:formatCode>
                <c:ptCount val="25"/>
                <c:pt idx="0">
                  <c:v>70</c:v>
                </c:pt>
                <c:pt idx="1">
                  <c:v>68</c:v>
                </c:pt>
                <c:pt idx="2">
                  <c:v>66</c:v>
                </c:pt>
                <c:pt idx="3">
                  <c:v>64</c:v>
                </c:pt>
                <c:pt idx="4">
                  <c:v>64</c:v>
                </c:pt>
                <c:pt idx="5">
                  <c:v>56</c:v>
                </c:pt>
                <c:pt idx="6">
                  <c:v>50</c:v>
                </c:pt>
                <c:pt idx="7">
                  <c:v>61</c:v>
                </c:pt>
                <c:pt idx="8">
                  <c:v>57</c:v>
                </c:pt>
                <c:pt idx="9">
                  <c:v>54</c:v>
                </c:pt>
                <c:pt idx="10">
                  <c:v>61</c:v>
                </c:pt>
                <c:pt idx="11">
                  <c:v>63</c:v>
                </c:pt>
                <c:pt idx="12">
                  <c:v>63</c:v>
                </c:pt>
                <c:pt idx="13">
                  <c:v>57</c:v>
                </c:pt>
                <c:pt idx="14">
                  <c:v>56</c:v>
                </c:pt>
                <c:pt idx="15">
                  <c:v>61</c:v>
                </c:pt>
                <c:pt idx="16">
                  <c:v>62</c:v>
                </c:pt>
                <c:pt idx="17">
                  <c:v>62</c:v>
                </c:pt>
                <c:pt idx="18">
                  <c:v>68</c:v>
                </c:pt>
                <c:pt idx="19">
                  <c:v>68</c:v>
                </c:pt>
                <c:pt idx="20">
                  <c:v>66</c:v>
                </c:pt>
                <c:pt idx="21">
                  <c:v>75</c:v>
                </c:pt>
                <c:pt idx="22">
                  <c:v>77</c:v>
                </c:pt>
                <c:pt idx="23">
                  <c:v>80</c:v>
                </c:pt>
                <c:pt idx="24">
                  <c:v>85</c:v>
                </c:pt>
              </c:numCache>
            </c:numRef>
          </c:yVal>
          <c:smooth val="1"/>
        </c:ser>
        <c:axId val="136874624"/>
        <c:axId val="136880512"/>
      </c:scatterChart>
      <c:valAx>
        <c:axId val="136874624"/>
        <c:scaling>
          <c:orientation val="minMax"/>
          <c:max val="2020"/>
          <c:min val="1990"/>
        </c:scaling>
        <c:axPos val="b"/>
        <c:numFmt formatCode="General" sourceLinked="1"/>
        <c:tickLblPos val="nextTo"/>
        <c:crossAx val="136880512"/>
        <c:crosses val="autoZero"/>
        <c:crossBetween val="midCat"/>
      </c:valAx>
      <c:valAx>
        <c:axId val="136880512"/>
        <c:scaling>
          <c:orientation val="minMax"/>
          <c:min val="40"/>
        </c:scaling>
        <c:axPos val="l"/>
        <c:majorGridlines/>
        <c:numFmt formatCode="#,##0" sourceLinked="1"/>
        <c:tickLblPos val="nextTo"/>
        <c:crossAx val="136874624"/>
        <c:crosses val="autoZero"/>
        <c:crossBetween val="midCat"/>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autoTitleDeleted val="1"/>
    <c:plotArea>
      <c:layout/>
      <c:scatterChart>
        <c:scatterStyle val="lineMarker"/>
        <c:ser>
          <c:idx val="0"/>
          <c:order val="0"/>
          <c:marker>
            <c:symbol val="none"/>
          </c:marker>
          <c:xVal>
            <c:numRef>
              <c:f>'ORP - analyza'!$A$28:$A$52</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analyza'!$C$28:$C$52</c:f>
              <c:numCache>
                <c:formatCode>#,##0</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1</c:v>
                </c:pt>
                <c:pt idx="20">
                  <c:v>0</c:v>
                </c:pt>
                <c:pt idx="21">
                  <c:v>2</c:v>
                </c:pt>
                <c:pt idx="22">
                  <c:v>0</c:v>
                </c:pt>
                <c:pt idx="23">
                  <c:v>1</c:v>
                </c:pt>
                <c:pt idx="24">
                  <c:v>1</c:v>
                </c:pt>
              </c:numCache>
            </c:numRef>
          </c:yVal>
        </c:ser>
        <c:axId val="96415744"/>
        <c:axId val="96472064"/>
      </c:scatterChart>
      <c:valAx>
        <c:axId val="96415744"/>
        <c:scaling>
          <c:orientation val="minMax"/>
          <c:max val="2016"/>
          <c:min val="1990"/>
        </c:scaling>
        <c:axPos val="b"/>
        <c:numFmt formatCode="General" sourceLinked="1"/>
        <c:tickLblPos val="nextTo"/>
        <c:crossAx val="96472064"/>
        <c:crosses val="autoZero"/>
        <c:crossBetween val="midCat"/>
      </c:valAx>
      <c:valAx>
        <c:axId val="96472064"/>
        <c:scaling>
          <c:orientation val="minMax"/>
          <c:max val="3"/>
          <c:min val="0"/>
        </c:scaling>
        <c:axPos val="l"/>
        <c:majorGridlines/>
        <c:numFmt formatCode="#,##0" sourceLinked="1"/>
        <c:tickLblPos val="nextTo"/>
        <c:crossAx val="96415744"/>
        <c:crosses val="autoZero"/>
        <c:crossBetween val="midCat"/>
        <c:majorUnit val="1"/>
        <c:minorUnit val="1"/>
      </c:valAx>
    </c:plotArea>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9.7858705161854798E-2"/>
          <c:y val="6.6306734364412007E-2"/>
          <c:w val="0.82743073782443866"/>
          <c:h val="0.78407917946344974"/>
        </c:manualLayout>
      </c:layout>
      <c:scatterChart>
        <c:scatterStyle val="lineMarker"/>
        <c:ser>
          <c:idx val="0"/>
          <c:order val="0"/>
          <c:marker>
            <c:symbol val="none"/>
          </c:marker>
          <c:xVal>
            <c:numRef>
              <c:f>'ORP - analyza'!$A$933:$A$957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analyza'!$C$933:$C$957</c:f>
              <c:numCache>
                <c:formatCode>#,##0</c:formatCode>
                <c:ptCount val="25"/>
                <c:pt idx="0">
                  <c:v>0</c:v>
                </c:pt>
                <c:pt idx="1">
                  <c:v>1</c:v>
                </c:pt>
                <c:pt idx="2">
                  <c:v>0</c:v>
                </c:pt>
                <c:pt idx="3">
                  <c:v>0</c:v>
                </c:pt>
                <c:pt idx="4">
                  <c:v>0</c:v>
                </c:pt>
                <c:pt idx="5">
                  <c:v>2</c:v>
                </c:pt>
                <c:pt idx="6">
                  <c:v>0</c:v>
                </c:pt>
                <c:pt idx="7">
                  <c:v>0</c:v>
                </c:pt>
                <c:pt idx="8">
                  <c:v>1</c:v>
                </c:pt>
                <c:pt idx="9">
                  <c:v>0</c:v>
                </c:pt>
                <c:pt idx="10">
                  <c:v>1</c:v>
                </c:pt>
                <c:pt idx="11">
                  <c:v>1</c:v>
                </c:pt>
                <c:pt idx="12">
                  <c:v>1</c:v>
                </c:pt>
                <c:pt idx="13">
                  <c:v>0</c:v>
                </c:pt>
                <c:pt idx="14">
                  <c:v>1</c:v>
                </c:pt>
                <c:pt idx="15">
                  <c:v>0</c:v>
                </c:pt>
                <c:pt idx="16">
                  <c:v>0</c:v>
                </c:pt>
                <c:pt idx="17">
                  <c:v>1</c:v>
                </c:pt>
                <c:pt idx="18">
                  <c:v>1</c:v>
                </c:pt>
                <c:pt idx="19">
                  <c:v>0</c:v>
                </c:pt>
                <c:pt idx="20">
                  <c:v>0</c:v>
                </c:pt>
                <c:pt idx="21">
                  <c:v>3</c:v>
                </c:pt>
                <c:pt idx="22">
                  <c:v>0</c:v>
                </c:pt>
                <c:pt idx="23">
                  <c:v>2</c:v>
                </c:pt>
                <c:pt idx="24">
                  <c:v>2</c:v>
                </c:pt>
              </c:numCache>
            </c:numRef>
          </c:yVal>
        </c:ser>
        <c:axId val="136887296"/>
        <c:axId val="136897280"/>
      </c:scatterChart>
      <c:valAx>
        <c:axId val="136887296"/>
        <c:scaling>
          <c:orientation val="minMax"/>
          <c:max val="2016"/>
          <c:min val="1990"/>
        </c:scaling>
        <c:axPos val="b"/>
        <c:numFmt formatCode="General" sourceLinked="1"/>
        <c:tickLblPos val="nextTo"/>
        <c:crossAx val="136897280"/>
        <c:crosses val="autoZero"/>
        <c:crossBetween val="midCat"/>
      </c:valAx>
      <c:valAx>
        <c:axId val="136897280"/>
        <c:scaling>
          <c:orientation val="minMax"/>
          <c:max val="4"/>
          <c:min val="0"/>
        </c:scaling>
        <c:axPos val="l"/>
        <c:majorGridlines/>
        <c:numFmt formatCode="#,##0" sourceLinked="1"/>
        <c:tickLblPos val="nextTo"/>
        <c:crossAx val="136887296"/>
        <c:crosses val="autoZero"/>
        <c:crossBetween val="midCat"/>
        <c:majorUnit val="1"/>
        <c:minorUnit val="1"/>
      </c:valAx>
    </c:plotArea>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7013424778132988"/>
          <c:y val="6.3756459206392571E-2"/>
          <c:w val="0.75821029530176454"/>
          <c:h val="0.7923838789783918"/>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analyza'!$A$959:$A$983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analyza'!$D$959:$D$983</c:f>
              <c:numCache>
                <c:formatCode>#,##0</c:formatCode>
                <c:ptCount val="25"/>
                <c:pt idx="0">
                  <c:v>1053</c:v>
                </c:pt>
                <c:pt idx="1">
                  <c:v>1054</c:v>
                </c:pt>
                <c:pt idx="2">
                  <c:v>1046</c:v>
                </c:pt>
                <c:pt idx="3">
                  <c:v>1042</c:v>
                </c:pt>
                <c:pt idx="4">
                  <c:v>1034</c:v>
                </c:pt>
                <c:pt idx="5">
                  <c:v>1049</c:v>
                </c:pt>
                <c:pt idx="6">
                  <c:v>1062</c:v>
                </c:pt>
                <c:pt idx="7">
                  <c:v>1062</c:v>
                </c:pt>
                <c:pt idx="8">
                  <c:v>1059</c:v>
                </c:pt>
                <c:pt idx="9">
                  <c:v>1066</c:v>
                </c:pt>
                <c:pt idx="10">
                  <c:v>1058</c:v>
                </c:pt>
                <c:pt idx="11">
                  <c:v>1055</c:v>
                </c:pt>
                <c:pt idx="12">
                  <c:v>1065</c:v>
                </c:pt>
                <c:pt idx="13">
                  <c:v>1058</c:v>
                </c:pt>
                <c:pt idx="14">
                  <c:v>1067</c:v>
                </c:pt>
                <c:pt idx="15">
                  <c:v>1072</c:v>
                </c:pt>
                <c:pt idx="16">
                  <c:v>1075</c:v>
                </c:pt>
                <c:pt idx="17">
                  <c:v>1070</c:v>
                </c:pt>
                <c:pt idx="18">
                  <c:v>1087</c:v>
                </c:pt>
                <c:pt idx="19">
                  <c:v>1087</c:v>
                </c:pt>
                <c:pt idx="20">
                  <c:v>1122</c:v>
                </c:pt>
                <c:pt idx="21">
                  <c:v>1142</c:v>
                </c:pt>
                <c:pt idx="22">
                  <c:v>1135</c:v>
                </c:pt>
                <c:pt idx="23">
                  <c:v>1130</c:v>
                </c:pt>
                <c:pt idx="24">
                  <c:v>1127</c:v>
                </c:pt>
              </c:numCache>
            </c:numRef>
          </c:yVal>
          <c:smooth val="1"/>
        </c:ser>
        <c:axId val="136970624"/>
        <c:axId val="136972160"/>
      </c:scatterChart>
      <c:valAx>
        <c:axId val="136970624"/>
        <c:scaling>
          <c:orientation val="minMax"/>
          <c:max val="2020"/>
          <c:min val="1990"/>
        </c:scaling>
        <c:axPos val="b"/>
        <c:numFmt formatCode="General" sourceLinked="1"/>
        <c:tickLblPos val="nextTo"/>
        <c:crossAx val="136972160"/>
        <c:crosses val="autoZero"/>
        <c:crossBetween val="midCat"/>
      </c:valAx>
      <c:valAx>
        <c:axId val="136972160"/>
        <c:scaling>
          <c:orientation val="minMax"/>
        </c:scaling>
        <c:axPos val="l"/>
        <c:majorGridlines/>
        <c:numFmt formatCode="#,##0" sourceLinked="1"/>
        <c:tickLblPos val="nextTo"/>
        <c:crossAx val="136970624"/>
        <c:crosses val="autoZero"/>
        <c:crossBetween val="midCat"/>
      </c:valAx>
    </c:plotArea>
    <c:plotVisOnly val="1"/>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507441197304491"/>
          <c:y val="6.3756459206392571E-2"/>
          <c:w val="0.81327010605707795"/>
          <c:h val="0.7923838789783918"/>
        </c:manualLayout>
      </c:layout>
      <c:scatterChart>
        <c:scatterStyle val="lineMarker"/>
        <c:ser>
          <c:idx val="0"/>
          <c:order val="0"/>
          <c:marker>
            <c:symbol val="none"/>
          </c:marker>
          <c:xVal>
            <c:numRef>
              <c:f>'ORP - analyza'!$A$959:$A$983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analyza'!$C$959:$C$983</c:f>
              <c:numCache>
                <c:formatCode>#,##0</c:formatCode>
                <c:ptCount val="25"/>
                <c:pt idx="0">
                  <c:v>10</c:v>
                </c:pt>
                <c:pt idx="1">
                  <c:v>8</c:v>
                </c:pt>
                <c:pt idx="2">
                  <c:v>15</c:v>
                </c:pt>
                <c:pt idx="3">
                  <c:v>8</c:v>
                </c:pt>
                <c:pt idx="4">
                  <c:v>11</c:v>
                </c:pt>
                <c:pt idx="5">
                  <c:v>13</c:v>
                </c:pt>
                <c:pt idx="6">
                  <c:v>8</c:v>
                </c:pt>
                <c:pt idx="7">
                  <c:v>8</c:v>
                </c:pt>
                <c:pt idx="8">
                  <c:v>13</c:v>
                </c:pt>
                <c:pt idx="9">
                  <c:v>10</c:v>
                </c:pt>
                <c:pt idx="10">
                  <c:v>15</c:v>
                </c:pt>
                <c:pt idx="11">
                  <c:v>5</c:v>
                </c:pt>
                <c:pt idx="12">
                  <c:v>5</c:v>
                </c:pt>
                <c:pt idx="13">
                  <c:v>10</c:v>
                </c:pt>
                <c:pt idx="14">
                  <c:v>9</c:v>
                </c:pt>
                <c:pt idx="15">
                  <c:v>5</c:v>
                </c:pt>
                <c:pt idx="16">
                  <c:v>12</c:v>
                </c:pt>
                <c:pt idx="17">
                  <c:v>5</c:v>
                </c:pt>
                <c:pt idx="18">
                  <c:v>8</c:v>
                </c:pt>
                <c:pt idx="19">
                  <c:v>10</c:v>
                </c:pt>
                <c:pt idx="20">
                  <c:v>8</c:v>
                </c:pt>
                <c:pt idx="21">
                  <c:v>13</c:v>
                </c:pt>
                <c:pt idx="22">
                  <c:v>4</c:v>
                </c:pt>
                <c:pt idx="23">
                  <c:v>9</c:v>
                </c:pt>
                <c:pt idx="24">
                  <c:v>10</c:v>
                </c:pt>
              </c:numCache>
            </c:numRef>
          </c:yVal>
        </c:ser>
        <c:axId val="136995584"/>
        <c:axId val="136997120"/>
      </c:scatterChart>
      <c:valAx>
        <c:axId val="136995584"/>
        <c:scaling>
          <c:orientation val="minMax"/>
          <c:max val="2016"/>
          <c:min val="1990"/>
        </c:scaling>
        <c:axPos val="b"/>
        <c:numFmt formatCode="General" sourceLinked="1"/>
        <c:tickLblPos val="nextTo"/>
        <c:crossAx val="136997120"/>
        <c:crosses val="autoZero"/>
        <c:crossBetween val="midCat"/>
      </c:valAx>
      <c:valAx>
        <c:axId val="136997120"/>
        <c:scaling>
          <c:orientation val="minMax"/>
        </c:scaling>
        <c:axPos val="l"/>
        <c:majorGridlines/>
        <c:numFmt formatCode="#,##0" sourceLinked="1"/>
        <c:tickLblPos val="nextTo"/>
        <c:crossAx val="136995584"/>
        <c:crosses val="autoZero"/>
        <c:crossBetween val="midCat"/>
      </c:valAx>
    </c:plotArea>
    <c:plotVisOnly val="1"/>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7013424778132988"/>
          <c:y val="6.3756459206392571E-2"/>
          <c:w val="0.75821029530176454"/>
          <c:h val="0.7923838789783918"/>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analyza'!$A$985:$A$1009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analyza'!$D$985:$D$1009</c:f>
              <c:numCache>
                <c:formatCode>#,##0</c:formatCode>
                <c:ptCount val="25"/>
                <c:pt idx="0">
                  <c:v>1015</c:v>
                </c:pt>
                <c:pt idx="1">
                  <c:v>999</c:v>
                </c:pt>
                <c:pt idx="2">
                  <c:v>744</c:v>
                </c:pt>
                <c:pt idx="3">
                  <c:v>719</c:v>
                </c:pt>
                <c:pt idx="4">
                  <c:v>719</c:v>
                </c:pt>
                <c:pt idx="5">
                  <c:v>708</c:v>
                </c:pt>
                <c:pt idx="6">
                  <c:v>684</c:v>
                </c:pt>
                <c:pt idx="7">
                  <c:v>664</c:v>
                </c:pt>
                <c:pt idx="8">
                  <c:v>677</c:v>
                </c:pt>
                <c:pt idx="9">
                  <c:v>670</c:v>
                </c:pt>
                <c:pt idx="10">
                  <c:v>725</c:v>
                </c:pt>
                <c:pt idx="11">
                  <c:v>723</c:v>
                </c:pt>
                <c:pt idx="12">
                  <c:v>731</c:v>
                </c:pt>
                <c:pt idx="13">
                  <c:v>720</c:v>
                </c:pt>
                <c:pt idx="14">
                  <c:v>722</c:v>
                </c:pt>
                <c:pt idx="15">
                  <c:v>741</c:v>
                </c:pt>
                <c:pt idx="16">
                  <c:v>758</c:v>
                </c:pt>
                <c:pt idx="17">
                  <c:v>769</c:v>
                </c:pt>
                <c:pt idx="18">
                  <c:v>770</c:v>
                </c:pt>
                <c:pt idx="19">
                  <c:v>786</c:v>
                </c:pt>
                <c:pt idx="20">
                  <c:v>814</c:v>
                </c:pt>
                <c:pt idx="21">
                  <c:v>820</c:v>
                </c:pt>
                <c:pt idx="22">
                  <c:v>835</c:v>
                </c:pt>
                <c:pt idx="23">
                  <c:v>839</c:v>
                </c:pt>
                <c:pt idx="24">
                  <c:v>843</c:v>
                </c:pt>
              </c:numCache>
            </c:numRef>
          </c:yVal>
          <c:smooth val="1"/>
        </c:ser>
        <c:axId val="137013120"/>
        <c:axId val="137014656"/>
      </c:scatterChart>
      <c:valAx>
        <c:axId val="137013120"/>
        <c:scaling>
          <c:orientation val="minMax"/>
          <c:max val="2020"/>
          <c:min val="1990"/>
        </c:scaling>
        <c:axPos val="b"/>
        <c:numFmt formatCode="General" sourceLinked="1"/>
        <c:tickLblPos val="nextTo"/>
        <c:crossAx val="137014656"/>
        <c:crosses val="autoZero"/>
        <c:crossBetween val="midCat"/>
      </c:valAx>
      <c:valAx>
        <c:axId val="137014656"/>
        <c:scaling>
          <c:orientation val="minMax"/>
          <c:min val="600"/>
        </c:scaling>
        <c:axPos val="l"/>
        <c:majorGridlines/>
        <c:numFmt formatCode="#,##0" sourceLinked="1"/>
        <c:tickLblPos val="nextTo"/>
        <c:crossAx val="137013120"/>
        <c:crosses val="autoZero"/>
        <c:crossBetween val="midCat"/>
      </c:valAx>
    </c:plotArea>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507441197304491"/>
          <c:y val="6.3756459206392571E-2"/>
          <c:w val="0.81327010605707795"/>
          <c:h val="0.7923838789783918"/>
        </c:manualLayout>
      </c:layout>
      <c:scatterChart>
        <c:scatterStyle val="lineMarker"/>
        <c:ser>
          <c:idx val="0"/>
          <c:order val="0"/>
          <c:marker>
            <c:symbol val="none"/>
          </c:marker>
          <c:xVal>
            <c:numRef>
              <c:f>'ORP - analyza'!$A$985:$A$1009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analyza'!$C$985:$C$1009</c:f>
              <c:numCache>
                <c:formatCode>#,##0</c:formatCode>
                <c:ptCount val="25"/>
                <c:pt idx="0">
                  <c:v>13</c:v>
                </c:pt>
                <c:pt idx="1">
                  <c:v>14</c:v>
                </c:pt>
                <c:pt idx="2">
                  <c:v>9</c:v>
                </c:pt>
                <c:pt idx="3">
                  <c:v>9</c:v>
                </c:pt>
                <c:pt idx="4">
                  <c:v>7</c:v>
                </c:pt>
                <c:pt idx="5">
                  <c:v>6</c:v>
                </c:pt>
                <c:pt idx="6">
                  <c:v>3</c:v>
                </c:pt>
                <c:pt idx="7">
                  <c:v>3</c:v>
                </c:pt>
                <c:pt idx="8">
                  <c:v>2</c:v>
                </c:pt>
                <c:pt idx="9">
                  <c:v>4</c:v>
                </c:pt>
                <c:pt idx="10">
                  <c:v>7</c:v>
                </c:pt>
                <c:pt idx="11">
                  <c:v>6</c:v>
                </c:pt>
                <c:pt idx="12">
                  <c:v>5</c:v>
                </c:pt>
                <c:pt idx="13">
                  <c:v>5</c:v>
                </c:pt>
                <c:pt idx="14">
                  <c:v>4</c:v>
                </c:pt>
                <c:pt idx="15">
                  <c:v>4</c:v>
                </c:pt>
                <c:pt idx="16">
                  <c:v>5</c:v>
                </c:pt>
                <c:pt idx="17">
                  <c:v>7</c:v>
                </c:pt>
                <c:pt idx="18">
                  <c:v>9</c:v>
                </c:pt>
                <c:pt idx="19">
                  <c:v>11</c:v>
                </c:pt>
                <c:pt idx="20">
                  <c:v>11</c:v>
                </c:pt>
                <c:pt idx="21">
                  <c:v>6</c:v>
                </c:pt>
                <c:pt idx="22">
                  <c:v>8</c:v>
                </c:pt>
                <c:pt idx="23">
                  <c:v>5</c:v>
                </c:pt>
                <c:pt idx="24">
                  <c:v>8</c:v>
                </c:pt>
              </c:numCache>
            </c:numRef>
          </c:yVal>
        </c:ser>
        <c:axId val="137030272"/>
        <c:axId val="137101696"/>
      </c:scatterChart>
      <c:valAx>
        <c:axId val="137030272"/>
        <c:scaling>
          <c:orientation val="minMax"/>
          <c:max val="2016"/>
          <c:min val="1990"/>
        </c:scaling>
        <c:axPos val="b"/>
        <c:numFmt formatCode="General" sourceLinked="1"/>
        <c:tickLblPos val="nextTo"/>
        <c:crossAx val="137101696"/>
        <c:crosses val="autoZero"/>
        <c:crossBetween val="midCat"/>
      </c:valAx>
      <c:valAx>
        <c:axId val="137101696"/>
        <c:scaling>
          <c:orientation val="minMax"/>
        </c:scaling>
        <c:axPos val="l"/>
        <c:majorGridlines/>
        <c:numFmt formatCode="#,##0" sourceLinked="1"/>
        <c:tickLblPos val="nextTo"/>
        <c:crossAx val="137030272"/>
        <c:crosses val="autoZero"/>
        <c:crossBetween val="midCat"/>
      </c:valAx>
    </c:plotArea>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758675654045821"/>
          <c:y val="6.3756459206392571E-2"/>
          <c:w val="0.79075778654263629"/>
          <c:h val="0.7923838789783918"/>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analyza'!$A$1011:$A$1035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analyza'!$D$1011:$D$1035</c:f>
              <c:numCache>
                <c:formatCode>#,##0</c:formatCode>
                <c:ptCount val="25"/>
                <c:pt idx="0">
                  <c:v>125</c:v>
                </c:pt>
                <c:pt idx="1">
                  <c:v>126</c:v>
                </c:pt>
                <c:pt idx="2">
                  <c:v>127</c:v>
                </c:pt>
                <c:pt idx="3">
                  <c:v>128</c:v>
                </c:pt>
                <c:pt idx="4">
                  <c:v>122</c:v>
                </c:pt>
                <c:pt idx="5">
                  <c:v>120</c:v>
                </c:pt>
                <c:pt idx="6">
                  <c:v>131</c:v>
                </c:pt>
                <c:pt idx="7">
                  <c:v>126</c:v>
                </c:pt>
                <c:pt idx="8">
                  <c:v>123</c:v>
                </c:pt>
                <c:pt idx="9">
                  <c:v>121</c:v>
                </c:pt>
                <c:pt idx="10">
                  <c:v>126</c:v>
                </c:pt>
                <c:pt idx="11">
                  <c:v>130</c:v>
                </c:pt>
                <c:pt idx="12">
                  <c:v>132</c:v>
                </c:pt>
                <c:pt idx="13">
                  <c:v>134</c:v>
                </c:pt>
                <c:pt idx="14">
                  <c:v>137</c:v>
                </c:pt>
                <c:pt idx="15">
                  <c:v>138</c:v>
                </c:pt>
                <c:pt idx="16">
                  <c:v>142</c:v>
                </c:pt>
                <c:pt idx="17">
                  <c:v>136</c:v>
                </c:pt>
                <c:pt idx="18">
                  <c:v>143</c:v>
                </c:pt>
                <c:pt idx="19">
                  <c:v>149</c:v>
                </c:pt>
                <c:pt idx="20">
                  <c:v>147</c:v>
                </c:pt>
                <c:pt idx="21">
                  <c:v>155</c:v>
                </c:pt>
                <c:pt idx="22">
                  <c:v>151</c:v>
                </c:pt>
                <c:pt idx="23">
                  <c:v>152</c:v>
                </c:pt>
                <c:pt idx="24">
                  <c:v>148</c:v>
                </c:pt>
              </c:numCache>
            </c:numRef>
          </c:yVal>
          <c:smooth val="1"/>
        </c:ser>
        <c:axId val="137121792"/>
        <c:axId val="137123328"/>
      </c:scatterChart>
      <c:valAx>
        <c:axId val="137121792"/>
        <c:scaling>
          <c:orientation val="minMax"/>
          <c:max val="2020"/>
          <c:min val="1990"/>
        </c:scaling>
        <c:axPos val="b"/>
        <c:numFmt formatCode="General" sourceLinked="1"/>
        <c:tickLblPos val="nextTo"/>
        <c:crossAx val="137123328"/>
        <c:crosses val="autoZero"/>
        <c:crossBetween val="midCat"/>
      </c:valAx>
      <c:valAx>
        <c:axId val="137123328"/>
        <c:scaling>
          <c:orientation val="minMax"/>
          <c:min val="100"/>
        </c:scaling>
        <c:axPos val="l"/>
        <c:majorGridlines/>
        <c:numFmt formatCode="#,##0" sourceLinked="1"/>
        <c:tickLblPos val="nextTo"/>
        <c:crossAx val="137121792"/>
        <c:crosses val="autoZero"/>
        <c:crossBetween val="midCat"/>
      </c:valAx>
    </c:plotArea>
    <c:plotVisOnly val="1"/>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5634621495720065E-2"/>
          <c:y val="6.3756459206392571E-2"/>
          <c:w val="0.83135280563278324"/>
          <c:h val="0.7923838789783918"/>
        </c:manualLayout>
      </c:layout>
      <c:scatterChart>
        <c:scatterStyle val="lineMarker"/>
        <c:ser>
          <c:idx val="0"/>
          <c:order val="0"/>
          <c:marker>
            <c:symbol val="none"/>
          </c:marker>
          <c:xVal>
            <c:numRef>
              <c:f>'ORP - analyza'!$A$1011:$A$1035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analyza'!$C$1011:$C$1035</c:f>
              <c:numCache>
                <c:formatCode>#,##0</c:formatCode>
                <c:ptCount val="25"/>
                <c:pt idx="0">
                  <c:v>0</c:v>
                </c:pt>
                <c:pt idx="1">
                  <c:v>1</c:v>
                </c:pt>
                <c:pt idx="2">
                  <c:v>0</c:v>
                </c:pt>
                <c:pt idx="3">
                  <c:v>0</c:v>
                </c:pt>
                <c:pt idx="4">
                  <c:v>1</c:v>
                </c:pt>
                <c:pt idx="5">
                  <c:v>0</c:v>
                </c:pt>
                <c:pt idx="6">
                  <c:v>3</c:v>
                </c:pt>
                <c:pt idx="7">
                  <c:v>2</c:v>
                </c:pt>
                <c:pt idx="8">
                  <c:v>2</c:v>
                </c:pt>
                <c:pt idx="9">
                  <c:v>1</c:v>
                </c:pt>
                <c:pt idx="10">
                  <c:v>1</c:v>
                </c:pt>
                <c:pt idx="11">
                  <c:v>2</c:v>
                </c:pt>
                <c:pt idx="12">
                  <c:v>1</c:v>
                </c:pt>
                <c:pt idx="13">
                  <c:v>1</c:v>
                </c:pt>
                <c:pt idx="14">
                  <c:v>0</c:v>
                </c:pt>
                <c:pt idx="15">
                  <c:v>5</c:v>
                </c:pt>
                <c:pt idx="16">
                  <c:v>1</c:v>
                </c:pt>
                <c:pt idx="17">
                  <c:v>2</c:v>
                </c:pt>
                <c:pt idx="18">
                  <c:v>0</c:v>
                </c:pt>
                <c:pt idx="19">
                  <c:v>6</c:v>
                </c:pt>
                <c:pt idx="20">
                  <c:v>2</c:v>
                </c:pt>
                <c:pt idx="21">
                  <c:v>1</c:v>
                </c:pt>
                <c:pt idx="22">
                  <c:v>1</c:v>
                </c:pt>
                <c:pt idx="23">
                  <c:v>2</c:v>
                </c:pt>
                <c:pt idx="24">
                  <c:v>1</c:v>
                </c:pt>
              </c:numCache>
            </c:numRef>
          </c:yVal>
        </c:ser>
        <c:axId val="137134464"/>
        <c:axId val="137136000"/>
      </c:scatterChart>
      <c:valAx>
        <c:axId val="137134464"/>
        <c:scaling>
          <c:orientation val="minMax"/>
          <c:max val="2016"/>
          <c:min val="1990"/>
        </c:scaling>
        <c:axPos val="b"/>
        <c:numFmt formatCode="General" sourceLinked="1"/>
        <c:tickLblPos val="nextTo"/>
        <c:crossAx val="137136000"/>
        <c:crosses val="autoZero"/>
        <c:crossBetween val="midCat"/>
      </c:valAx>
      <c:valAx>
        <c:axId val="137136000"/>
        <c:scaling>
          <c:orientation val="minMax"/>
        </c:scaling>
        <c:axPos val="l"/>
        <c:majorGridlines/>
        <c:numFmt formatCode="#,##0" sourceLinked="1"/>
        <c:tickLblPos val="nextTo"/>
        <c:crossAx val="137134464"/>
        <c:crosses val="autoZero"/>
        <c:crossBetween val="midCat"/>
      </c:valAx>
    </c:plotArea>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cs-CZ"/>
  <c:chart>
    <c:autoTitleDeleted val="1"/>
    <c:plotArea>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analyza'!$A$1089:$A$1113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analyza'!$D$1089:$D$1113</c:f>
              <c:numCache>
                <c:formatCode>#,##0</c:formatCode>
                <c:ptCount val="25"/>
                <c:pt idx="0">
                  <c:v>497</c:v>
                </c:pt>
                <c:pt idx="1">
                  <c:v>497</c:v>
                </c:pt>
                <c:pt idx="2">
                  <c:v>471</c:v>
                </c:pt>
                <c:pt idx="3">
                  <c:v>469</c:v>
                </c:pt>
                <c:pt idx="4">
                  <c:v>458</c:v>
                </c:pt>
                <c:pt idx="5">
                  <c:v>448</c:v>
                </c:pt>
                <c:pt idx="6">
                  <c:v>444</c:v>
                </c:pt>
                <c:pt idx="7">
                  <c:v>437</c:v>
                </c:pt>
                <c:pt idx="8">
                  <c:v>426</c:v>
                </c:pt>
                <c:pt idx="9">
                  <c:v>419</c:v>
                </c:pt>
                <c:pt idx="10">
                  <c:v>420</c:v>
                </c:pt>
                <c:pt idx="11">
                  <c:v>426</c:v>
                </c:pt>
                <c:pt idx="12">
                  <c:v>433</c:v>
                </c:pt>
                <c:pt idx="13">
                  <c:v>444</c:v>
                </c:pt>
                <c:pt idx="14">
                  <c:v>440</c:v>
                </c:pt>
                <c:pt idx="15">
                  <c:v>443</c:v>
                </c:pt>
                <c:pt idx="16">
                  <c:v>456</c:v>
                </c:pt>
                <c:pt idx="17">
                  <c:v>469</c:v>
                </c:pt>
                <c:pt idx="18">
                  <c:v>463</c:v>
                </c:pt>
                <c:pt idx="19">
                  <c:v>465</c:v>
                </c:pt>
                <c:pt idx="20">
                  <c:v>480</c:v>
                </c:pt>
                <c:pt idx="21">
                  <c:v>471</c:v>
                </c:pt>
                <c:pt idx="22">
                  <c:v>481</c:v>
                </c:pt>
                <c:pt idx="23">
                  <c:v>486</c:v>
                </c:pt>
                <c:pt idx="24">
                  <c:v>488</c:v>
                </c:pt>
              </c:numCache>
            </c:numRef>
          </c:yVal>
          <c:smooth val="1"/>
        </c:ser>
        <c:axId val="137156096"/>
        <c:axId val="137157632"/>
      </c:scatterChart>
      <c:valAx>
        <c:axId val="137156096"/>
        <c:scaling>
          <c:orientation val="minMax"/>
          <c:max val="2020"/>
          <c:min val="1990"/>
        </c:scaling>
        <c:axPos val="b"/>
        <c:numFmt formatCode="General" sourceLinked="1"/>
        <c:tickLblPos val="nextTo"/>
        <c:crossAx val="137157632"/>
        <c:crosses val="autoZero"/>
        <c:crossBetween val="midCat"/>
      </c:valAx>
      <c:valAx>
        <c:axId val="137157632"/>
        <c:scaling>
          <c:orientation val="minMax"/>
          <c:min val="300"/>
        </c:scaling>
        <c:axPos val="l"/>
        <c:majorGridlines/>
        <c:numFmt formatCode="#,##0" sourceLinked="1"/>
        <c:tickLblPos val="nextTo"/>
        <c:crossAx val="137156096"/>
        <c:crosses val="autoZero"/>
        <c:crossBetween val="midCat"/>
      </c:valAx>
    </c:plotArea>
    <c:plotVisOnly val="1"/>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cs-CZ"/>
  <c:chart>
    <c:autoTitleDeleted val="1"/>
    <c:plotArea>
      <c:layout/>
      <c:scatterChart>
        <c:scatterStyle val="lineMarker"/>
        <c:ser>
          <c:idx val="0"/>
          <c:order val="0"/>
          <c:marker>
            <c:symbol val="none"/>
          </c:marker>
          <c:xVal>
            <c:numRef>
              <c:f>'ORP - analyza'!$A$1089:$A$1113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analyza'!$C$1089:$C$1113</c:f>
              <c:numCache>
                <c:formatCode>#,##0</c:formatCode>
                <c:ptCount val="25"/>
                <c:pt idx="0">
                  <c:v>5</c:v>
                </c:pt>
                <c:pt idx="1">
                  <c:v>5</c:v>
                </c:pt>
                <c:pt idx="2">
                  <c:v>4</c:v>
                </c:pt>
                <c:pt idx="3">
                  <c:v>4</c:v>
                </c:pt>
                <c:pt idx="4">
                  <c:v>5</c:v>
                </c:pt>
                <c:pt idx="5">
                  <c:v>4</c:v>
                </c:pt>
                <c:pt idx="6">
                  <c:v>2</c:v>
                </c:pt>
                <c:pt idx="7">
                  <c:v>2</c:v>
                </c:pt>
                <c:pt idx="8">
                  <c:v>2</c:v>
                </c:pt>
                <c:pt idx="9">
                  <c:v>2</c:v>
                </c:pt>
                <c:pt idx="10">
                  <c:v>3</c:v>
                </c:pt>
                <c:pt idx="11">
                  <c:v>2</c:v>
                </c:pt>
                <c:pt idx="12">
                  <c:v>2</c:v>
                </c:pt>
                <c:pt idx="13">
                  <c:v>3</c:v>
                </c:pt>
                <c:pt idx="14">
                  <c:v>2</c:v>
                </c:pt>
                <c:pt idx="15">
                  <c:v>3</c:v>
                </c:pt>
                <c:pt idx="16">
                  <c:v>7</c:v>
                </c:pt>
                <c:pt idx="17">
                  <c:v>3</c:v>
                </c:pt>
                <c:pt idx="18">
                  <c:v>5</c:v>
                </c:pt>
                <c:pt idx="19">
                  <c:v>2</c:v>
                </c:pt>
                <c:pt idx="20">
                  <c:v>9</c:v>
                </c:pt>
                <c:pt idx="21">
                  <c:v>4</c:v>
                </c:pt>
                <c:pt idx="22">
                  <c:v>5</c:v>
                </c:pt>
                <c:pt idx="23">
                  <c:v>3</c:v>
                </c:pt>
                <c:pt idx="24">
                  <c:v>11</c:v>
                </c:pt>
              </c:numCache>
            </c:numRef>
          </c:yVal>
        </c:ser>
        <c:axId val="137250688"/>
        <c:axId val="137252224"/>
      </c:scatterChart>
      <c:valAx>
        <c:axId val="137250688"/>
        <c:scaling>
          <c:orientation val="minMax"/>
          <c:max val="2016"/>
          <c:min val="1990"/>
        </c:scaling>
        <c:axPos val="b"/>
        <c:numFmt formatCode="General" sourceLinked="1"/>
        <c:tickLblPos val="nextTo"/>
        <c:crossAx val="137252224"/>
        <c:crosses val="autoZero"/>
        <c:crossBetween val="midCat"/>
      </c:valAx>
      <c:valAx>
        <c:axId val="137252224"/>
        <c:scaling>
          <c:orientation val="minMax"/>
        </c:scaling>
        <c:axPos val="l"/>
        <c:majorGridlines/>
        <c:numFmt formatCode="#,##0" sourceLinked="1"/>
        <c:tickLblPos val="nextTo"/>
        <c:crossAx val="137250688"/>
        <c:crosses val="autoZero"/>
        <c:crossBetween val="midCat"/>
      </c:valAx>
    </c:plotArea>
    <c:plotVisOnly val="1"/>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657136193770858"/>
          <c:y val="6.9069500076171339E-2"/>
          <c:w val="0.7923020006774425"/>
          <c:h val="0.77508252708490188"/>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analyza'!$A$1115:$A$1139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analyza'!$D$1115:$D$1139</c:f>
              <c:numCache>
                <c:formatCode>#,##0</c:formatCode>
                <c:ptCount val="25"/>
                <c:pt idx="0">
                  <c:v>578</c:v>
                </c:pt>
                <c:pt idx="1">
                  <c:v>579</c:v>
                </c:pt>
                <c:pt idx="2">
                  <c:v>574</c:v>
                </c:pt>
                <c:pt idx="3">
                  <c:v>577</c:v>
                </c:pt>
                <c:pt idx="4">
                  <c:v>572</c:v>
                </c:pt>
                <c:pt idx="5">
                  <c:v>573</c:v>
                </c:pt>
                <c:pt idx="6">
                  <c:v>568</c:v>
                </c:pt>
                <c:pt idx="7">
                  <c:v>574</c:v>
                </c:pt>
                <c:pt idx="8">
                  <c:v>581</c:v>
                </c:pt>
                <c:pt idx="9">
                  <c:v>593</c:v>
                </c:pt>
                <c:pt idx="10">
                  <c:v>588</c:v>
                </c:pt>
                <c:pt idx="11">
                  <c:v>593</c:v>
                </c:pt>
                <c:pt idx="12">
                  <c:v>610</c:v>
                </c:pt>
                <c:pt idx="13">
                  <c:v>601</c:v>
                </c:pt>
                <c:pt idx="14">
                  <c:v>602</c:v>
                </c:pt>
                <c:pt idx="15">
                  <c:v>603</c:v>
                </c:pt>
                <c:pt idx="16">
                  <c:v>605</c:v>
                </c:pt>
                <c:pt idx="17">
                  <c:v>609</c:v>
                </c:pt>
                <c:pt idx="18">
                  <c:v>626</c:v>
                </c:pt>
                <c:pt idx="19">
                  <c:v>625</c:v>
                </c:pt>
                <c:pt idx="20">
                  <c:v>643</c:v>
                </c:pt>
                <c:pt idx="21">
                  <c:v>641</c:v>
                </c:pt>
                <c:pt idx="22">
                  <c:v>634</c:v>
                </c:pt>
                <c:pt idx="23">
                  <c:v>636</c:v>
                </c:pt>
                <c:pt idx="24">
                  <c:v>646</c:v>
                </c:pt>
              </c:numCache>
            </c:numRef>
          </c:yVal>
          <c:smooth val="1"/>
        </c:ser>
        <c:axId val="137260032"/>
        <c:axId val="137270016"/>
      </c:scatterChart>
      <c:valAx>
        <c:axId val="137260032"/>
        <c:scaling>
          <c:orientation val="minMax"/>
          <c:max val="2020"/>
          <c:min val="1990"/>
        </c:scaling>
        <c:axPos val="b"/>
        <c:numFmt formatCode="General" sourceLinked="1"/>
        <c:tickLblPos val="nextTo"/>
        <c:crossAx val="137270016"/>
        <c:crosses val="autoZero"/>
        <c:crossBetween val="midCat"/>
      </c:valAx>
      <c:valAx>
        <c:axId val="137270016"/>
        <c:scaling>
          <c:orientation val="minMax"/>
          <c:min val="500"/>
        </c:scaling>
        <c:axPos val="l"/>
        <c:majorGridlines/>
        <c:numFmt formatCode="#,##0" sourceLinked="1"/>
        <c:tickLblPos val="nextTo"/>
        <c:crossAx val="137260032"/>
        <c:crosses val="autoZero"/>
        <c:crossBetween val="midCat"/>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409727982073125"/>
          <c:y val="6.0006085637257719E-2"/>
          <c:w val="0.7960645896899935"/>
          <c:h val="0.80459657119025207"/>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analyza'!$A$54:$A$78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analyza'!$D$54:$D$78</c:f>
              <c:numCache>
                <c:formatCode>#,##0</c:formatCode>
                <c:ptCount val="25"/>
                <c:pt idx="0">
                  <c:v>449</c:v>
                </c:pt>
                <c:pt idx="1">
                  <c:v>456</c:v>
                </c:pt>
                <c:pt idx="2">
                  <c:v>445</c:v>
                </c:pt>
                <c:pt idx="3">
                  <c:v>440</c:v>
                </c:pt>
                <c:pt idx="4">
                  <c:v>436</c:v>
                </c:pt>
                <c:pt idx="5">
                  <c:v>428</c:v>
                </c:pt>
                <c:pt idx="6">
                  <c:v>417</c:v>
                </c:pt>
                <c:pt idx="7">
                  <c:v>416</c:v>
                </c:pt>
                <c:pt idx="8">
                  <c:v>416</c:v>
                </c:pt>
                <c:pt idx="9">
                  <c:v>408</c:v>
                </c:pt>
                <c:pt idx="10">
                  <c:v>402</c:v>
                </c:pt>
                <c:pt idx="11">
                  <c:v>407</c:v>
                </c:pt>
                <c:pt idx="12">
                  <c:v>401</c:v>
                </c:pt>
                <c:pt idx="13">
                  <c:v>402</c:v>
                </c:pt>
                <c:pt idx="14">
                  <c:v>416</c:v>
                </c:pt>
                <c:pt idx="15">
                  <c:v>424</c:v>
                </c:pt>
                <c:pt idx="16">
                  <c:v>427</c:v>
                </c:pt>
                <c:pt idx="17">
                  <c:v>431</c:v>
                </c:pt>
                <c:pt idx="18">
                  <c:v>435</c:v>
                </c:pt>
                <c:pt idx="19">
                  <c:v>450</c:v>
                </c:pt>
                <c:pt idx="20">
                  <c:v>433</c:v>
                </c:pt>
                <c:pt idx="21">
                  <c:v>432</c:v>
                </c:pt>
                <c:pt idx="22">
                  <c:v>432</c:v>
                </c:pt>
                <c:pt idx="23">
                  <c:v>431</c:v>
                </c:pt>
                <c:pt idx="24">
                  <c:v>419</c:v>
                </c:pt>
              </c:numCache>
            </c:numRef>
          </c:yVal>
          <c:smooth val="1"/>
        </c:ser>
        <c:axId val="97083392"/>
        <c:axId val="97762304"/>
      </c:scatterChart>
      <c:valAx>
        <c:axId val="97083392"/>
        <c:scaling>
          <c:orientation val="minMax"/>
          <c:max val="2020"/>
          <c:min val="1990"/>
        </c:scaling>
        <c:axPos val="b"/>
        <c:numFmt formatCode="General" sourceLinked="1"/>
        <c:tickLblPos val="nextTo"/>
        <c:crossAx val="97762304"/>
        <c:crosses val="autoZero"/>
        <c:crossBetween val="midCat"/>
      </c:valAx>
      <c:valAx>
        <c:axId val="97762304"/>
        <c:scaling>
          <c:orientation val="minMax"/>
        </c:scaling>
        <c:axPos val="l"/>
        <c:majorGridlines/>
        <c:numFmt formatCode="#,##0" sourceLinked="1"/>
        <c:tickLblPos val="nextTo"/>
        <c:crossAx val="97083392"/>
        <c:crosses val="autoZero"/>
        <c:crossBetween val="midCat"/>
      </c:valAx>
    </c:plotArea>
    <c:plotVisOnly val="1"/>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769966917742797"/>
          <c:y val="6.3756459206392571E-2"/>
          <c:w val="0.80901013208943184"/>
          <c:h val="0.7923838789783918"/>
        </c:manualLayout>
      </c:layout>
      <c:scatterChart>
        <c:scatterStyle val="lineMarker"/>
        <c:ser>
          <c:idx val="0"/>
          <c:order val="0"/>
          <c:marker>
            <c:symbol val="none"/>
          </c:marker>
          <c:xVal>
            <c:numRef>
              <c:f>'ORP - analyza'!$A$1115:$A$1139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analyza'!$C$1115:$C$1139</c:f>
              <c:numCache>
                <c:formatCode>#,##0</c:formatCode>
                <c:ptCount val="25"/>
                <c:pt idx="0">
                  <c:v>2</c:v>
                </c:pt>
                <c:pt idx="1">
                  <c:v>2</c:v>
                </c:pt>
                <c:pt idx="2">
                  <c:v>3</c:v>
                </c:pt>
                <c:pt idx="3">
                  <c:v>3</c:v>
                </c:pt>
                <c:pt idx="4">
                  <c:v>4</c:v>
                </c:pt>
                <c:pt idx="5">
                  <c:v>3</c:v>
                </c:pt>
                <c:pt idx="6">
                  <c:v>4</c:v>
                </c:pt>
                <c:pt idx="7">
                  <c:v>3</c:v>
                </c:pt>
                <c:pt idx="8">
                  <c:v>4</c:v>
                </c:pt>
                <c:pt idx="9">
                  <c:v>5</c:v>
                </c:pt>
                <c:pt idx="10">
                  <c:v>2</c:v>
                </c:pt>
                <c:pt idx="11">
                  <c:v>4</c:v>
                </c:pt>
                <c:pt idx="12">
                  <c:v>7</c:v>
                </c:pt>
                <c:pt idx="13">
                  <c:v>8</c:v>
                </c:pt>
                <c:pt idx="14">
                  <c:v>4</c:v>
                </c:pt>
                <c:pt idx="15">
                  <c:v>3</c:v>
                </c:pt>
                <c:pt idx="16">
                  <c:v>6</c:v>
                </c:pt>
                <c:pt idx="17">
                  <c:v>3</c:v>
                </c:pt>
                <c:pt idx="18">
                  <c:v>6</c:v>
                </c:pt>
                <c:pt idx="19">
                  <c:v>8</c:v>
                </c:pt>
                <c:pt idx="20">
                  <c:v>11</c:v>
                </c:pt>
                <c:pt idx="21">
                  <c:v>7</c:v>
                </c:pt>
                <c:pt idx="22">
                  <c:v>5</c:v>
                </c:pt>
                <c:pt idx="23">
                  <c:v>8</c:v>
                </c:pt>
                <c:pt idx="24">
                  <c:v>5</c:v>
                </c:pt>
              </c:numCache>
            </c:numRef>
          </c:yVal>
        </c:ser>
        <c:axId val="137276800"/>
        <c:axId val="137278592"/>
      </c:scatterChart>
      <c:valAx>
        <c:axId val="137276800"/>
        <c:scaling>
          <c:orientation val="minMax"/>
          <c:max val="2016"/>
          <c:min val="1990"/>
        </c:scaling>
        <c:axPos val="b"/>
        <c:numFmt formatCode="General" sourceLinked="1"/>
        <c:tickLblPos val="nextTo"/>
        <c:crossAx val="137278592"/>
        <c:crosses val="autoZero"/>
        <c:crossBetween val="midCat"/>
      </c:valAx>
      <c:valAx>
        <c:axId val="137278592"/>
        <c:scaling>
          <c:orientation val="minMax"/>
        </c:scaling>
        <c:axPos val="l"/>
        <c:majorGridlines/>
        <c:numFmt formatCode="#,##0" sourceLinked="1"/>
        <c:tickLblPos val="nextTo"/>
        <c:crossAx val="137276800"/>
        <c:crosses val="autoZero"/>
        <c:crossBetween val="midCat"/>
      </c:valAx>
    </c:plotArea>
    <c:plotVisOnly val="1"/>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507608670654556"/>
          <c:y val="6.3756459206392571E-2"/>
          <c:w val="0.79457601822799451"/>
          <c:h val="0.7923838789783918"/>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analyza'!$A$1141:$A$1165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analyza'!$D$1141:$D$1165</c:f>
              <c:numCache>
                <c:formatCode>#,##0</c:formatCode>
                <c:ptCount val="25"/>
                <c:pt idx="0">
                  <c:v>445</c:v>
                </c:pt>
                <c:pt idx="1">
                  <c:v>451</c:v>
                </c:pt>
                <c:pt idx="2">
                  <c:v>455</c:v>
                </c:pt>
                <c:pt idx="3">
                  <c:v>456</c:v>
                </c:pt>
                <c:pt idx="4">
                  <c:v>443</c:v>
                </c:pt>
                <c:pt idx="5">
                  <c:v>436</c:v>
                </c:pt>
                <c:pt idx="6">
                  <c:v>438</c:v>
                </c:pt>
                <c:pt idx="7">
                  <c:v>446</c:v>
                </c:pt>
                <c:pt idx="8">
                  <c:v>432</c:v>
                </c:pt>
                <c:pt idx="9">
                  <c:v>429</c:v>
                </c:pt>
                <c:pt idx="10">
                  <c:v>455</c:v>
                </c:pt>
                <c:pt idx="11">
                  <c:v>447</c:v>
                </c:pt>
                <c:pt idx="12">
                  <c:v>462</c:v>
                </c:pt>
                <c:pt idx="13">
                  <c:v>463</c:v>
                </c:pt>
                <c:pt idx="14">
                  <c:v>459</c:v>
                </c:pt>
                <c:pt idx="15">
                  <c:v>458</c:v>
                </c:pt>
                <c:pt idx="16">
                  <c:v>466</c:v>
                </c:pt>
                <c:pt idx="17">
                  <c:v>480</c:v>
                </c:pt>
                <c:pt idx="18">
                  <c:v>469</c:v>
                </c:pt>
                <c:pt idx="19">
                  <c:v>479</c:v>
                </c:pt>
                <c:pt idx="20">
                  <c:v>487</c:v>
                </c:pt>
                <c:pt idx="21">
                  <c:v>500</c:v>
                </c:pt>
                <c:pt idx="22">
                  <c:v>495</c:v>
                </c:pt>
                <c:pt idx="23">
                  <c:v>505</c:v>
                </c:pt>
                <c:pt idx="24">
                  <c:v>517</c:v>
                </c:pt>
              </c:numCache>
            </c:numRef>
          </c:yVal>
          <c:smooth val="1"/>
        </c:ser>
        <c:axId val="137302784"/>
        <c:axId val="137304320"/>
      </c:scatterChart>
      <c:valAx>
        <c:axId val="137302784"/>
        <c:scaling>
          <c:orientation val="minMax"/>
          <c:max val="2020"/>
          <c:min val="1990"/>
        </c:scaling>
        <c:axPos val="b"/>
        <c:numFmt formatCode="General" sourceLinked="1"/>
        <c:tickLblPos val="nextTo"/>
        <c:crossAx val="137304320"/>
        <c:crosses val="autoZero"/>
        <c:crossBetween val="midCat"/>
      </c:valAx>
      <c:valAx>
        <c:axId val="137304320"/>
        <c:scaling>
          <c:orientation val="minMax"/>
          <c:min val="400"/>
        </c:scaling>
        <c:axPos val="l"/>
        <c:majorGridlines/>
        <c:numFmt formatCode="#,##0" sourceLinked="1"/>
        <c:tickLblPos val="nextTo"/>
        <c:crossAx val="137302784"/>
        <c:crosses val="autoZero"/>
        <c:crossBetween val="midCat"/>
      </c:valAx>
    </c:plotArea>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98067949839604"/>
          <c:y val="6.3756459206392571E-2"/>
          <c:w val="0.80530876348789771"/>
          <c:h val="0.7923838789783918"/>
        </c:manualLayout>
      </c:layout>
      <c:scatterChart>
        <c:scatterStyle val="lineMarker"/>
        <c:ser>
          <c:idx val="0"/>
          <c:order val="0"/>
          <c:marker>
            <c:symbol val="none"/>
          </c:marker>
          <c:xVal>
            <c:numRef>
              <c:f>'ORP - analyza'!$A$1141:$A$1165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analyza'!$C$1141:$C$1165</c:f>
              <c:numCache>
                <c:formatCode>#,##0</c:formatCode>
                <c:ptCount val="25"/>
                <c:pt idx="0">
                  <c:v>4</c:v>
                </c:pt>
                <c:pt idx="1">
                  <c:v>1</c:v>
                </c:pt>
                <c:pt idx="2">
                  <c:v>0</c:v>
                </c:pt>
                <c:pt idx="3">
                  <c:v>3</c:v>
                </c:pt>
                <c:pt idx="4">
                  <c:v>2</c:v>
                </c:pt>
                <c:pt idx="5">
                  <c:v>1</c:v>
                </c:pt>
                <c:pt idx="6">
                  <c:v>4</c:v>
                </c:pt>
                <c:pt idx="7">
                  <c:v>3</c:v>
                </c:pt>
                <c:pt idx="8">
                  <c:v>0</c:v>
                </c:pt>
                <c:pt idx="9">
                  <c:v>5</c:v>
                </c:pt>
                <c:pt idx="10">
                  <c:v>2</c:v>
                </c:pt>
                <c:pt idx="11">
                  <c:v>3</c:v>
                </c:pt>
                <c:pt idx="12">
                  <c:v>4</c:v>
                </c:pt>
                <c:pt idx="13">
                  <c:v>5</c:v>
                </c:pt>
                <c:pt idx="14">
                  <c:v>4</c:v>
                </c:pt>
                <c:pt idx="15">
                  <c:v>3</c:v>
                </c:pt>
                <c:pt idx="16">
                  <c:v>7</c:v>
                </c:pt>
                <c:pt idx="17">
                  <c:v>3</c:v>
                </c:pt>
                <c:pt idx="18">
                  <c:v>1</c:v>
                </c:pt>
                <c:pt idx="19">
                  <c:v>6</c:v>
                </c:pt>
                <c:pt idx="20">
                  <c:v>5</c:v>
                </c:pt>
                <c:pt idx="21">
                  <c:v>10</c:v>
                </c:pt>
                <c:pt idx="22">
                  <c:v>3</c:v>
                </c:pt>
                <c:pt idx="23">
                  <c:v>7</c:v>
                </c:pt>
                <c:pt idx="24">
                  <c:v>8</c:v>
                </c:pt>
              </c:numCache>
            </c:numRef>
          </c:yVal>
        </c:ser>
        <c:axId val="137315456"/>
        <c:axId val="137316992"/>
      </c:scatterChart>
      <c:valAx>
        <c:axId val="137315456"/>
        <c:scaling>
          <c:orientation val="minMax"/>
          <c:max val="2016"/>
          <c:min val="1990"/>
        </c:scaling>
        <c:axPos val="b"/>
        <c:numFmt formatCode="General" sourceLinked="1"/>
        <c:tickLblPos val="nextTo"/>
        <c:crossAx val="137316992"/>
        <c:crosses val="autoZero"/>
        <c:crossBetween val="midCat"/>
      </c:valAx>
      <c:valAx>
        <c:axId val="137316992"/>
        <c:scaling>
          <c:orientation val="minMax"/>
        </c:scaling>
        <c:axPos val="l"/>
        <c:majorGridlines/>
        <c:numFmt formatCode="#,##0" sourceLinked="1"/>
        <c:tickLblPos val="nextTo"/>
        <c:crossAx val="137315456"/>
        <c:crosses val="autoZero"/>
        <c:crossBetween val="midCat"/>
      </c:valAx>
    </c:plotArea>
    <c:plotVisOnly val="1"/>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344786319627197"/>
          <c:y val="7.3267089046309894E-2"/>
          <c:w val="0.79712687014615669"/>
          <c:h val="0.76141352553633557"/>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analyza'!$A$1167:$A$1191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analyza'!$D$1167:$D$1191</c:f>
              <c:numCache>
                <c:formatCode>#,##0</c:formatCode>
                <c:ptCount val="25"/>
                <c:pt idx="0">
                  <c:v>257</c:v>
                </c:pt>
                <c:pt idx="1">
                  <c:v>253</c:v>
                </c:pt>
                <c:pt idx="2">
                  <c:v>247</c:v>
                </c:pt>
                <c:pt idx="3">
                  <c:v>242</c:v>
                </c:pt>
                <c:pt idx="4">
                  <c:v>230</c:v>
                </c:pt>
                <c:pt idx="5">
                  <c:v>224</c:v>
                </c:pt>
                <c:pt idx="6">
                  <c:v>224</c:v>
                </c:pt>
                <c:pt idx="7">
                  <c:v>219</c:v>
                </c:pt>
                <c:pt idx="8">
                  <c:v>231</c:v>
                </c:pt>
                <c:pt idx="9">
                  <c:v>224</c:v>
                </c:pt>
                <c:pt idx="10">
                  <c:v>220</c:v>
                </c:pt>
                <c:pt idx="11">
                  <c:v>214</c:v>
                </c:pt>
                <c:pt idx="12">
                  <c:v>218</c:v>
                </c:pt>
                <c:pt idx="13">
                  <c:v>222</c:v>
                </c:pt>
                <c:pt idx="14">
                  <c:v>222</c:v>
                </c:pt>
                <c:pt idx="15">
                  <c:v>230</c:v>
                </c:pt>
                <c:pt idx="16">
                  <c:v>227</c:v>
                </c:pt>
                <c:pt idx="17">
                  <c:v>220</c:v>
                </c:pt>
                <c:pt idx="18">
                  <c:v>223</c:v>
                </c:pt>
                <c:pt idx="19">
                  <c:v>230</c:v>
                </c:pt>
                <c:pt idx="20">
                  <c:v>231</c:v>
                </c:pt>
                <c:pt idx="21">
                  <c:v>228</c:v>
                </c:pt>
                <c:pt idx="22">
                  <c:v>233</c:v>
                </c:pt>
                <c:pt idx="23">
                  <c:v>237</c:v>
                </c:pt>
                <c:pt idx="24">
                  <c:v>233</c:v>
                </c:pt>
              </c:numCache>
            </c:numRef>
          </c:yVal>
          <c:smooth val="1"/>
        </c:ser>
        <c:axId val="137328896"/>
        <c:axId val="137338880"/>
      </c:scatterChart>
      <c:valAx>
        <c:axId val="137328896"/>
        <c:scaling>
          <c:orientation val="minMax"/>
          <c:max val="2020"/>
          <c:min val="1990"/>
        </c:scaling>
        <c:axPos val="b"/>
        <c:numFmt formatCode="General" sourceLinked="1"/>
        <c:tickLblPos val="nextTo"/>
        <c:crossAx val="137338880"/>
        <c:crosses val="autoZero"/>
        <c:crossBetween val="midCat"/>
      </c:valAx>
      <c:valAx>
        <c:axId val="137338880"/>
        <c:scaling>
          <c:orientation val="minMax"/>
          <c:min val="200"/>
        </c:scaling>
        <c:axPos val="l"/>
        <c:majorGridlines/>
        <c:numFmt formatCode="#,##0" sourceLinked="1"/>
        <c:tickLblPos val="nextTo"/>
        <c:crossAx val="137328896"/>
        <c:crosses val="autoZero"/>
        <c:crossBetween val="midCat"/>
      </c:valAx>
    </c:plotArea>
    <c:plotVisOnly val="1"/>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7480856682304162E-2"/>
          <c:y val="6.5650204839701798E-2"/>
          <c:w val="0.82809705599431771"/>
          <c:h val="0.78621709795756256"/>
        </c:manualLayout>
      </c:layout>
      <c:scatterChart>
        <c:scatterStyle val="lineMarker"/>
        <c:ser>
          <c:idx val="0"/>
          <c:order val="0"/>
          <c:marker>
            <c:symbol val="none"/>
          </c:marker>
          <c:xVal>
            <c:numRef>
              <c:f>'ORP - analyza'!$A$1167:$A$1191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analyza'!$C$1167:$C$1191</c:f>
              <c:numCache>
                <c:formatCode>#,##0</c:formatCode>
                <c:ptCount val="25"/>
                <c:pt idx="0">
                  <c:v>5</c:v>
                </c:pt>
                <c:pt idx="1">
                  <c:v>1</c:v>
                </c:pt>
                <c:pt idx="2">
                  <c:v>1</c:v>
                </c:pt>
                <c:pt idx="3">
                  <c:v>2</c:v>
                </c:pt>
                <c:pt idx="4">
                  <c:v>2</c:v>
                </c:pt>
                <c:pt idx="5">
                  <c:v>1</c:v>
                </c:pt>
                <c:pt idx="6">
                  <c:v>1</c:v>
                </c:pt>
                <c:pt idx="7">
                  <c:v>1</c:v>
                </c:pt>
                <c:pt idx="8">
                  <c:v>3</c:v>
                </c:pt>
                <c:pt idx="9">
                  <c:v>0</c:v>
                </c:pt>
                <c:pt idx="10">
                  <c:v>2</c:v>
                </c:pt>
                <c:pt idx="11">
                  <c:v>0</c:v>
                </c:pt>
                <c:pt idx="12">
                  <c:v>3</c:v>
                </c:pt>
                <c:pt idx="13">
                  <c:v>3</c:v>
                </c:pt>
                <c:pt idx="14">
                  <c:v>1</c:v>
                </c:pt>
                <c:pt idx="15">
                  <c:v>2</c:v>
                </c:pt>
                <c:pt idx="16">
                  <c:v>4</c:v>
                </c:pt>
                <c:pt idx="17">
                  <c:v>2</c:v>
                </c:pt>
                <c:pt idx="18">
                  <c:v>0</c:v>
                </c:pt>
                <c:pt idx="19">
                  <c:v>2</c:v>
                </c:pt>
                <c:pt idx="20">
                  <c:v>5</c:v>
                </c:pt>
                <c:pt idx="21">
                  <c:v>0</c:v>
                </c:pt>
                <c:pt idx="22">
                  <c:v>2</c:v>
                </c:pt>
                <c:pt idx="23">
                  <c:v>5</c:v>
                </c:pt>
                <c:pt idx="24">
                  <c:v>2</c:v>
                </c:pt>
              </c:numCache>
            </c:numRef>
          </c:yVal>
        </c:ser>
        <c:axId val="137357952"/>
        <c:axId val="137359744"/>
      </c:scatterChart>
      <c:valAx>
        <c:axId val="137357952"/>
        <c:scaling>
          <c:orientation val="minMax"/>
          <c:max val="2016"/>
          <c:min val="1990"/>
        </c:scaling>
        <c:axPos val="b"/>
        <c:numFmt formatCode="General" sourceLinked="1"/>
        <c:tickLblPos val="nextTo"/>
        <c:crossAx val="137359744"/>
        <c:crosses val="autoZero"/>
        <c:crossBetween val="midCat"/>
      </c:valAx>
      <c:valAx>
        <c:axId val="137359744"/>
        <c:scaling>
          <c:orientation val="minMax"/>
        </c:scaling>
        <c:axPos val="l"/>
        <c:majorGridlines/>
        <c:numFmt formatCode="#,##0" sourceLinked="1"/>
        <c:tickLblPos val="nextTo"/>
        <c:crossAx val="137357952"/>
        <c:crosses val="autoZero"/>
        <c:crossBetween val="midCat"/>
      </c:valAx>
    </c:plotArea>
    <c:plotVisOnly val="1"/>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31325113706639"/>
          <c:y val="6.4064445191599956E-2"/>
          <c:w val="0.79753181147093966"/>
          <c:h val="0.79138095540996067"/>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analyza'!$A$1219:$A$1243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analyza'!$D$1219:$D$1243</c:f>
              <c:numCache>
                <c:formatCode>#,##0</c:formatCode>
                <c:ptCount val="25"/>
                <c:pt idx="0">
                  <c:v>786</c:v>
                </c:pt>
                <c:pt idx="1">
                  <c:v>793</c:v>
                </c:pt>
                <c:pt idx="2">
                  <c:v>778</c:v>
                </c:pt>
                <c:pt idx="3">
                  <c:v>796</c:v>
                </c:pt>
                <c:pt idx="4">
                  <c:v>790</c:v>
                </c:pt>
                <c:pt idx="5">
                  <c:v>791</c:v>
                </c:pt>
                <c:pt idx="6">
                  <c:v>798</c:v>
                </c:pt>
                <c:pt idx="7">
                  <c:v>793</c:v>
                </c:pt>
                <c:pt idx="8">
                  <c:v>804</c:v>
                </c:pt>
                <c:pt idx="9">
                  <c:v>804</c:v>
                </c:pt>
                <c:pt idx="10">
                  <c:v>770</c:v>
                </c:pt>
                <c:pt idx="11">
                  <c:v>785</c:v>
                </c:pt>
                <c:pt idx="12">
                  <c:v>785</c:v>
                </c:pt>
                <c:pt idx="13">
                  <c:v>776</c:v>
                </c:pt>
                <c:pt idx="14">
                  <c:v>776</c:v>
                </c:pt>
                <c:pt idx="15">
                  <c:v>786</c:v>
                </c:pt>
                <c:pt idx="16">
                  <c:v>803</c:v>
                </c:pt>
                <c:pt idx="17">
                  <c:v>817</c:v>
                </c:pt>
                <c:pt idx="18">
                  <c:v>842</c:v>
                </c:pt>
                <c:pt idx="19">
                  <c:v>848</c:v>
                </c:pt>
                <c:pt idx="20">
                  <c:v>838</c:v>
                </c:pt>
                <c:pt idx="21">
                  <c:v>832</c:v>
                </c:pt>
                <c:pt idx="22">
                  <c:v>821</c:v>
                </c:pt>
                <c:pt idx="23">
                  <c:v>834</c:v>
                </c:pt>
                <c:pt idx="24">
                  <c:v>840</c:v>
                </c:pt>
              </c:numCache>
            </c:numRef>
          </c:yVal>
          <c:smooth val="1"/>
        </c:ser>
        <c:axId val="137445376"/>
        <c:axId val="137446912"/>
      </c:scatterChart>
      <c:valAx>
        <c:axId val="137445376"/>
        <c:scaling>
          <c:orientation val="minMax"/>
          <c:max val="2020"/>
          <c:min val="1990"/>
        </c:scaling>
        <c:axPos val="b"/>
        <c:numFmt formatCode="General" sourceLinked="1"/>
        <c:tickLblPos val="nextTo"/>
        <c:crossAx val="137446912"/>
        <c:crosses val="autoZero"/>
        <c:crossBetween val="midCat"/>
      </c:valAx>
      <c:valAx>
        <c:axId val="137446912"/>
        <c:scaling>
          <c:orientation val="minMax"/>
        </c:scaling>
        <c:axPos val="l"/>
        <c:majorGridlines/>
        <c:numFmt formatCode="#,##0" sourceLinked="1"/>
        <c:tickLblPos val="nextTo"/>
        <c:crossAx val="137445376"/>
        <c:crosses val="autoZero"/>
        <c:crossBetween val="midCat"/>
      </c:valAx>
    </c:plotArea>
    <c:plotVisOnly val="1"/>
  </c:chart>
  <c:spPr>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51741445468916"/>
          <c:y val="6.4064445191599956E-2"/>
          <c:w val="0.80606049822193249"/>
          <c:h val="0.79138095540996067"/>
        </c:manualLayout>
      </c:layout>
      <c:scatterChart>
        <c:scatterStyle val="lineMarker"/>
        <c:ser>
          <c:idx val="0"/>
          <c:order val="0"/>
          <c:marker>
            <c:symbol val="none"/>
          </c:marker>
          <c:xVal>
            <c:numRef>
              <c:f>'ORP - analyza'!$A$1219:$A$1243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analyza'!$C$1219:$C$1243</c:f>
              <c:numCache>
                <c:formatCode>#,##0</c:formatCode>
                <c:ptCount val="25"/>
                <c:pt idx="0">
                  <c:v>9</c:v>
                </c:pt>
                <c:pt idx="1">
                  <c:v>12</c:v>
                </c:pt>
                <c:pt idx="2">
                  <c:v>4</c:v>
                </c:pt>
                <c:pt idx="3">
                  <c:v>7</c:v>
                </c:pt>
                <c:pt idx="4">
                  <c:v>6</c:v>
                </c:pt>
                <c:pt idx="5">
                  <c:v>12</c:v>
                </c:pt>
                <c:pt idx="6">
                  <c:v>6</c:v>
                </c:pt>
                <c:pt idx="7">
                  <c:v>8</c:v>
                </c:pt>
                <c:pt idx="8">
                  <c:v>7</c:v>
                </c:pt>
                <c:pt idx="9">
                  <c:v>5</c:v>
                </c:pt>
                <c:pt idx="10">
                  <c:v>7</c:v>
                </c:pt>
                <c:pt idx="11">
                  <c:v>11</c:v>
                </c:pt>
                <c:pt idx="12">
                  <c:v>5</c:v>
                </c:pt>
                <c:pt idx="13">
                  <c:v>9</c:v>
                </c:pt>
                <c:pt idx="14">
                  <c:v>3</c:v>
                </c:pt>
                <c:pt idx="15">
                  <c:v>9</c:v>
                </c:pt>
                <c:pt idx="16">
                  <c:v>9</c:v>
                </c:pt>
                <c:pt idx="17">
                  <c:v>6</c:v>
                </c:pt>
                <c:pt idx="18">
                  <c:v>10</c:v>
                </c:pt>
                <c:pt idx="19">
                  <c:v>9</c:v>
                </c:pt>
                <c:pt idx="20">
                  <c:v>20</c:v>
                </c:pt>
                <c:pt idx="21">
                  <c:v>5</c:v>
                </c:pt>
                <c:pt idx="22">
                  <c:v>6</c:v>
                </c:pt>
                <c:pt idx="23">
                  <c:v>10</c:v>
                </c:pt>
                <c:pt idx="24">
                  <c:v>7</c:v>
                </c:pt>
              </c:numCache>
            </c:numRef>
          </c:yVal>
        </c:ser>
        <c:axId val="137466240"/>
        <c:axId val="137467776"/>
      </c:scatterChart>
      <c:valAx>
        <c:axId val="137466240"/>
        <c:scaling>
          <c:orientation val="minMax"/>
          <c:max val="2016"/>
          <c:min val="1990"/>
        </c:scaling>
        <c:axPos val="b"/>
        <c:numFmt formatCode="General" sourceLinked="1"/>
        <c:tickLblPos val="nextTo"/>
        <c:crossAx val="137467776"/>
        <c:crosses val="autoZero"/>
        <c:crossBetween val="midCat"/>
      </c:valAx>
      <c:valAx>
        <c:axId val="137467776"/>
        <c:scaling>
          <c:orientation val="minMax"/>
        </c:scaling>
        <c:axPos val="l"/>
        <c:majorGridlines/>
        <c:numFmt formatCode="#,##0" sourceLinked="1"/>
        <c:tickLblPos val="nextTo"/>
        <c:crossAx val="137466240"/>
        <c:crosses val="autoZero"/>
        <c:crossBetween val="midCat"/>
      </c:valAx>
    </c:plotArea>
    <c:plotVisOnly val="1"/>
  </c:chart>
  <c:spPr>
    <a:ln>
      <a:noFill/>
    </a:ln>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758675654045821"/>
          <c:y val="6.597683637602339E-2"/>
          <c:w val="0.79075778654263629"/>
          <c:h val="0.78515345713718865"/>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analyza'!$A$1245:$A$1269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analyza'!$D$1245:$D$1269</c:f>
              <c:numCache>
                <c:formatCode>#,##0</c:formatCode>
                <c:ptCount val="25"/>
                <c:pt idx="0">
                  <c:v>380</c:v>
                </c:pt>
                <c:pt idx="1">
                  <c:v>382</c:v>
                </c:pt>
                <c:pt idx="2">
                  <c:v>377</c:v>
                </c:pt>
                <c:pt idx="3">
                  <c:v>373</c:v>
                </c:pt>
                <c:pt idx="4">
                  <c:v>369</c:v>
                </c:pt>
                <c:pt idx="5">
                  <c:v>404</c:v>
                </c:pt>
                <c:pt idx="6">
                  <c:v>398</c:v>
                </c:pt>
                <c:pt idx="7">
                  <c:v>404</c:v>
                </c:pt>
                <c:pt idx="8">
                  <c:v>395</c:v>
                </c:pt>
                <c:pt idx="9">
                  <c:v>388</c:v>
                </c:pt>
                <c:pt idx="10">
                  <c:v>388</c:v>
                </c:pt>
                <c:pt idx="11">
                  <c:v>392</c:v>
                </c:pt>
                <c:pt idx="12">
                  <c:v>396</c:v>
                </c:pt>
                <c:pt idx="13">
                  <c:v>403</c:v>
                </c:pt>
                <c:pt idx="14">
                  <c:v>402</c:v>
                </c:pt>
                <c:pt idx="15">
                  <c:v>395</c:v>
                </c:pt>
                <c:pt idx="16">
                  <c:v>415</c:v>
                </c:pt>
                <c:pt idx="17">
                  <c:v>430</c:v>
                </c:pt>
                <c:pt idx="18">
                  <c:v>438</c:v>
                </c:pt>
                <c:pt idx="19">
                  <c:v>442</c:v>
                </c:pt>
                <c:pt idx="20">
                  <c:v>464</c:v>
                </c:pt>
                <c:pt idx="21">
                  <c:v>467</c:v>
                </c:pt>
                <c:pt idx="22">
                  <c:v>454</c:v>
                </c:pt>
                <c:pt idx="23">
                  <c:v>440</c:v>
                </c:pt>
                <c:pt idx="24">
                  <c:v>446</c:v>
                </c:pt>
              </c:numCache>
            </c:numRef>
          </c:yVal>
          <c:smooth val="1"/>
        </c:ser>
        <c:axId val="137487872"/>
        <c:axId val="137489408"/>
      </c:scatterChart>
      <c:valAx>
        <c:axId val="137487872"/>
        <c:scaling>
          <c:orientation val="minMax"/>
          <c:max val="2020"/>
          <c:min val="1990"/>
        </c:scaling>
        <c:axPos val="b"/>
        <c:numFmt formatCode="General" sourceLinked="1"/>
        <c:tickLblPos val="nextTo"/>
        <c:crossAx val="137489408"/>
        <c:crosses val="autoZero"/>
        <c:crossBetween val="midCat"/>
      </c:valAx>
      <c:valAx>
        <c:axId val="137489408"/>
        <c:scaling>
          <c:orientation val="minMax"/>
          <c:min val="300"/>
        </c:scaling>
        <c:axPos val="l"/>
        <c:majorGridlines/>
        <c:numFmt formatCode="#,##0" sourceLinked="1"/>
        <c:tickLblPos val="nextTo"/>
        <c:crossAx val="137487872"/>
        <c:crosses val="autoZero"/>
        <c:crossBetween val="midCat"/>
      </c:valAx>
    </c:plotArea>
    <c:plotVisOnly val="1"/>
  </c:chart>
  <c:spPr>
    <a:ln>
      <a:noFill/>
    </a:ln>
  </c:sp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3857052652336112E-2"/>
          <c:y val="6.5976805504539895E-2"/>
          <c:w val="0.83448746537778651"/>
          <c:h val="0.78515355766688788"/>
        </c:manualLayout>
      </c:layout>
      <c:scatterChart>
        <c:scatterStyle val="lineMarker"/>
        <c:ser>
          <c:idx val="0"/>
          <c:order val="0"/>
          <c:marker>
            <c:symbol val="none"/>
          </c:marker>
          <c:xVal>
            <c:numRef>
              <c:f>'ORP - analyza'!$A$1245:$A$1269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analyza'!$C$1245:$C$1269</c:f>
              <c:numCache>
                <c:formatCode>#,##0</c:formatCode>
                <c:ptCount val="25"/>
                <c:pt idx="0">
                  <c:v>4</c:v>
                </c:pt>
                <c:pt idx="1">
                  <c:v>5</c:v>
                </c:pt>
                <c:pt idx="2">
                  <c:v>6</c:v>
                </c:pt>
                <c:pt idx="3">
                  <c:v>5</c:v>
                </c:pt>
                <c:pt idx="4">
                  <c:v>2</c:v>
                </c:pt>
                <c:pt idx="5">
                  <c:v>2</c:v>
                </c:pt>
                <c:pt idx="6">
                  <c:v>1</c:v>
                </c:pt>
                <c:pt idx="7">
                  <c:v>5</c:v>
                </c:pt>
                <c:pt idx="8">
                  <c:v>3</c:v>
                </c:pt>
                <c:pt idx="9">
                  <c:v>3</c:v>
                </c:pt>
                <c:pt idx="10">
                  <c:v>2</c:v>
                </c:pt>
                <c:pt idx="11">
                  <c:v>2</c:v>
                </c:pt>
                <c:pt idx="12">
                  <c:v>3</c:v>
                </c:pt>
                <c:pt idx="13">
                  <c:v>3</c:v>
                </c:pt>
                <c:pt idx="14">
                  <c:v>4</c:v>
                </c:pt>
                <c:pt idx="15">
                  <c:v>4</c:v>
                </c:pt>
                <c:pt idx="16">
                  <c:v>1</c:v>
                </c:pt>
                <c:pt idx="17">
                  <c:v>8</c:v>
                </c:pt>
                <c:pt idx="18">
                  <c:v>4</c:v>
                </c:pt>
                <c:pt idx="19">
                  <c:v>3</c:v>
                </c:pt>
                <c:pt idx="20">
                  <c:v>3</c:v>
                </c:pt>
                <c:pt idx="21">
                  <c:v>7</c:v>
                </c:pt>
                <c:pt idx="22">
                  <c:v>3</c:v>
                </c:pt>
                <c:pt idx="23">
                  <c:v>8</c:v>
                </c:pt>
                <c:pt idx="24">
                  <c:v>3</c:v>
                </c:pt>
              </c:numCache>
            </c:numRef>
          </c:yVal>
        </c:ser>
        <c:axId val="137504640"/>
        <c:axId val="137506176"/>
      </c:scatterChart>
      <c:valAx>
        <c:axId val="137504640"/>
        <c:scaling>
          <c:orientation val="minMax"/>
          <c:max val="2016"/>
          <c:min val="1990"/>
        </c:scaling>
        <c:axPos val="b"/>
        <c:numFmt formatCode="General" sourceLinked="1"/>
        <c:tickLblPos val="nextTo"/>
        <c:crossAx val="137506176"/>
        <c:crosses val="autoZero"/>
        <c:crossBetween val="midCat"/>
      </c:valAx>
      <c:valAx>
        <c:axId val="137506176"/>
        <c:scaling>
          <c:orientation val="minMax"/>
        </c:scaling>
        <c:axPos val="l"/>
        <c:majorGridlines/>
        <c:numFmt formatCode="#,##0" sourceLinked="1"/>
        <c:tickLblPos val="nextTo"/>
        <c:crossAx val="137504640"/>
        <c:crosses val="autoZero"/>
        <c:crossBetween val="midCat"/>
      </c:valAx>
    </c:plotArea>
    <c:plotVisOnly val="1"/>
  </c:chart>
  <c:spPr>
    <a:ln>
      <a:noFill/>
    </a:ln>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682578069027709"/>
          <c:y val="6.5976805504539895E-2"/>
          <c:w val="0.76087703695917519"/>
          <c:h val="0.78515355766688788"/>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analyza'!$A$1271:$A$1295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analyza'!$D$1271:$D$1295</c:f>
              <c:numCache>
                <c:formatCode>#,##0</c:formatCode>
                <c:ptCount val="25"/>
                <c:pt idx="0">
                  <c:v>1495</c:v>
                </c:pt>
                <c:pt idx="1">
                  <c:v>1499</c:v>
                </c:pt>
                <c:pt idx="2">
                  <c:v>1490</c:v>
                </c:pt>
                <c:pt idx="3">
                  <c:v>1489</c:v>
                </c:pt>
                <c:pt idx="4">
                  <c:v>1455</c:v>
                </c:pt>
                <c:pt idx="5">
                  <c:v>1436</c:v>
                </c:pt>
                <c:pt idx="6">
                  <c:v>1444</c:v>
                </c:pt>
                <c:pt idx="7">
                  <c:v>1434</c:v>
                </c:pt>
                <c:pt idx="8">
                  <c:v>1419</c:v>
                </c:pt>
                <c:pt idx="9">
                  <c:v>1414</c:v>
                </c:pt>
                <c:pt idx="10">
                  <c:v>1387</c:v>
                </c:pt>
                <c:pt idx="11">
                  <c:v>1387</c:v>
                </c:pt>
                <c:pt idx="12">
                  <c:v>1378</c:v>
                </c:pt>
                <c:pt idx="13">
                  <c:v>1372</c:v>
                </c:pt>
                <c:pt idx="14">
                  <c:v>1360</c:v>
                </c:pt>
                <c:pt idx="15">
                  <c:v>1359</c:v>
                </c:pt>
                <c:pt idx="16">
                  <c:v>1384</c:v>
                </c:pt>
                <c:pt idx="17">
                  <c:v>1393</c:v>
                </c:pt>
                <c:pt idx="18">
                  <c:v>1408</c:v>
                </c:pt>
                <c:pt idx="19">
                  <c:v>1422</c:v>
                </c:pt>
                <c:pt idx="20">
                  <c:v>1397</c:v>
                </c:pt>
                <c:pt idx="21">
                  <c:v>1406</c:v>
                </c:pt>
                <c:pt idx="22">
                  <c:v>1392</c:v>
                </c:pt>
                <c:pt idx="23">
                  <c:v>1383</c:v>
                </c:pt>
                <c:pt idx="24">
                  <c:v>1385</c:v>
                </c:pt>
              </c:numCache>
            </c:numRef>
          </c:yVal>
          <c:smooth val="1"/>
        </c:ser>
        <c:axId val="137522176"/>
        <c:axId val="137532160"/>
      </c:scatterChart>
      <c:valAx>
        <c:axId val="137522176"/>
        <c:scaling>
          <c:orientation val="minMax"/>
          <c:max val="2020"/>
          <c:min val="1990"/>
        </c:scaling>
        <c:axPos val="b"/>
        <c:numFmt formatCode="General" sourceLinked="1"/>
        <c:tickLblPos val="nextTo"/>
        <c:crossAx val="137532160"/>
        <c:crosses val="autoZero"/>
        <c:crossBetween val="midCat"/>
      </c:valAx>
      <c:valAx>
        <c:axId val="137532160"/>
        <c:scaling>
          <c:orientation val="minMax"/>
        </c:scaling>
        <c:axPos val="l"/>
        <c:majorGridlines/>
        <c:numFmt formatCode="#,##0" sourceLinked="1"/>
        <c:tickLblPos val="nextTo"/>
        <c:crossAx val="137522176"/>
        <c:crosses val="autoZero"/>
        <c:crossBetween val="midCat"/>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autoTitleDeleted val="1"/>
    <c:plotArea>
      <c:layout/>
      <c:scatterChart>
        <c:scatterStyle val="lineMarker"/>
        <c:ser>
          <c:idx val="0"/>
          <c:order val="0"/>
          <c:marker>
            <c:symbol val="none"/>
          </c:marker>
          <c:xVal>
            <c:numRef>
              <c:f>'ORP - analyza'!$A$54:$A$78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analyza'!$C$54:$C$78</c:f>
              <c:numCache>
                <c:formatCode>#,##0</c:formatCode>
                <c:ptCount val="25"/>
                <c:pt idx="0">
                  <c:v>6</c:v>
                </c:pt>
                <c:pt idx="1">
                  <c:v>9</c:v>
                </c:pt>
                <c:pt idx="2">
                  <c:v>3</c:v>
                </c:pt>
                <c:pt idx="3">
                  <c:v>3</c:v>
                </c:pt>
                <c:pt idx="4">
                  <c:v>4</c:v>
                </c:pt>
                <c:pt idx="5">
                  <c:v>3</c:v>
                </c:pt>
                <c:pt idx="6">
                  <c:v>7</c:v>
                </c:pt>
                <c:pt idx="7">
                  <c:v>1</c:v>
                </c:pt>
                <c:pt idx="8">
                  <c:v>2</c:v>
                </c:pt>
                <c:pt idx="9">
                  <c:v>2</c:v>
                </c:pt>
                <c:pt idx="10">
                  <c:v>2</c:v>
                </c:pt>
                <c:pt idx="11">
                  <c:v>7</c:v>
                </c:pt>
                <c:pt idx="12">
                  <c:v>1</c:v>
                </c:pt>
                <c:pt idx="13">
                  <c:v>3</c:v>
                </c:pt>
                <c:pt idx="14">
                  <c:v>2</c:v>
                </c:pt>
                <c:pt idx="15">
                  <c:v>8</c:v>
                </c:pt>
                <c:pt idx="16">
                  <c:v>5</c:v>
                </c:pt>
                <c:pt idx="17">
                  <c:v>4</c:v>
                </c:pt>
                <c:pt idx="18">
                  <c:v>5</c:v>
                </c:pt>
                <c:pt idx="19">
                  <c:v>3</c:v>
                </c:pt>
                <c:pt idx="20">
                  <c:v>6</c:v>
                </c:pt>
                <c:pt idx="21">
                  <c:v>2</c:v>
                </c:pt>
                <c:pt idx="22">
                  <c:v>3</c:v>
                </c:pt>
                <c:pt idx="23">
                  <c:v>5</c:v>
                </c:pt>
                <c:pt idx="24">
                  <c:v>1</c:v>
                </c:pt>
              </c:numCache>
            </c:numRef>
          </c:yVal>
        </c:ser>
        <c:axId val="101890304"/>
        <c:axId val="101896192"/>
      </c:scatterChart>
      <c:valAx>
        <c:axId val="101890304"/>
        <c:scaling>
          <c:orientation val="minMax"/>
          <c:max val="2016"/>
          <c:min val="1990"/>
        </c:scaling>
        <c:axPos val="b"/>
        <c:numFmt formatCode="General" sourceLinked="1"/>
        <c:tickLblPos val="nextTo"/>
        <c:crossAx val="101896192"/>
        <c:crosses val="autoZero"/>
        <c:crossBetween val="midCat"/>
      </c:valAx>
      <c:valAx>
        <c:axId val="101896192"/>
        <c:scaling>
          <c:orientation val="minMax"/>
        </c:scaling>
        <c:axPos val="l"/>
        <c:majorGridlines/>
        <c:numFmt formatCode="#,##0" sourceLinked="1"/>
        <c:tickLblPos val="nextTo"/>
        <c:crossAx val="101890304"/>
        <c:crosses val="autoZero"/>
        <c:crossBetween val="midCat"/>
      </c:valAx>
    </c:plotArea>
    <c:plotVisOnly val="1"/>
  </c:chart>
  <c:spPr>
    <a:ln>
      <a:noFill/>
    </a:ln>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98067949839604"/>
          <c:y val="6.5976805504539895E-2"/>
          <c:w val="0.80530876348789771"/>
          <c:h val="0.78515355766688788"/>
        </c:manualLayout>
      </c:layout>
      <c:scatterChart>
        <c:scatterStyle val="lineMarker"/>
        <c:ser>
          <c:idx val="0"/>
          <c:order val="0"/>
          <c:marker>
            <c:symbol val="none"/>
          </c:marker>
          <c:xVal>
            <c:numRef>
              <c:f>'ORP - analyza'!$A$1271:$A$1295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analyza'!$C$1271:$C$1295</c:f>
              <c:numCache>
                <c:formatCode>#,##0</c:formatCode>
                <c:ptCount val="25"/>
                <c:pt idx="0">
                  <c:v>27</c:v>
                </c:pt>
                <c:pt idx="1">
                  <c:v>22</c:v>
                </c:pt>
                <c:pt idx="2">
                  <c:v>14</c:v>
                </c:pt>
                <c:pt idx="3">
                  <c:v>16</c:v>
                </c:pt>
                <c:pt idx="4">
                  <c:v>7</c:v>
                </c:pt>
                <c:pt idx="5">
                  <c:v>13</c:v>
                </c:pt>
                <c:pt idx="6">
                  <c:v>16</c:v>
                </c:pt>
                <c:pt idx="7">
                  <c:v>9</c:v>
                </c:pt>
                <c:pt idx="8">
                  <c:v>15</c:v>
                </c:pt>
                <c:pt idx="9">
                  <c:v>8</c:v>
                </c:pt>
                <c:pt idx="10">
                  <c:v>8</c:v>
                </c:pt>
                <c:pt idx="11">
                  <c:v>9</c:v>
                </c:pt>
                <c:pt idx="12">
                  <c:v>8</c:v>
                </c:pt>
                <c:pt idx="13">
                  <c:v>13</c:v>
                </c:pt>
                <c:pt idx="14">
                  <c:v>15</c:v>
                </c:pt>
                <c:pt idx="15">
                  <c:v>10</c:v>
                </c:pt>
                <c:pt idx="16">
                  <c:v>15</c:v>
                </c:pt>
                <c:pt idx="17">
                  <c:v>10</c:v>
                </c:pt>
                <c:pt idx="18">
                  <c:v>22</c:v>
                </c:pt>
                <c:pt idx="19">
                  <c:v>13</c:v>
                </c:pt>
                <c:pt idx="20">
                  <c:v>13</c:v>
                </c:pt>
                <c:pt idx="21">
                  <c:v>11</c:v>
                </c:pt>
                <c:pt idx="22">
                  <c:v>10</c:v>
                </c:pt>
                <c:pt idx="23">
                  <c:v>8</c:v>
                </c:pt>
                <c:pt idx="24">
                  <c:v>13</c:v>
                </c:pt>
              </c:numCache>
            </c:numRef>
          </c:yVal>
        </c:ser>
        <c:axId val="137538944"/>
        <c:axId val="137548928"/>
      </c:scatterChart>
      <c:valAx>
        <c:axId val="137538944"/>
        <c:scaling>
          <c:orientation val="minMax"/>
          <c:max val="2016"/>
          <c:min val="1990"/>
        </c:scaling>
        <c:axPos val="b"/>
        <c:numFmt formatCode="General" sourceLinked="1"/>
        <c:tickLblPos val="nextTo"/>
        <c:crossAx val="137548928"/>
        <c:crosses val="autoZero"/>
        <c:crossBetween val="midCat"/>
      </c:valAx>
      <c:valAx>
        <c:axId val="137548928"/>
        <c:scaling>
          <c:orientation val="minMax"/>
        </c:scaling>
        <c:axPos val="l"/>
        <c:majorGridlines/>
        <c:numFmt formatCode="#,##0" sourceLinked="1"/>
        <c:tickLblPos val="nextTo"/>
        <c:crossAx val="137538944"/>
        <c:crosses val="autoZero"/>
        <c:crossBetween val="midCat"/>
      </c:valAx>
    </c:plotArea>
    <c:plotVisOnly val="1"/>
  </c:chart>
  <c:spPr>
    <a:ln>
      <a:noFill/>
    </a:ln>
  </c:sp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361315406426491"/>
          <c:y val="6.0006085637257719E-2"/>
          <c:w val="0.7968008491049392"/>
          <c:h val="0.80459657119025141"/>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analyza'!$A$106:$A$130</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analyza'!$D$106:$D$130</c:f>
              <c:numCache>
                <c:formatCode>#,##0</c:formatCode>
                <c:ptCount val="25"/>
                <c:pt idx="0">
                  <c:v>429</c:v>
                </c:pt>
                <c:pt idx="1">
                  <c:v>422</c:v>
                </c:pt>
                <c:pt idx="2">
                  <c:v>421</c:v>
                </c:pt>
                <c:pt idx="3">
                  <c:v>426</c:v>
                </c:pt>
                <c:pt idx="4">
                  <c:v>417</c:v>
                </c:pt>
                <c:pt idx="5">
                  <c:v>422</c:v>
                </c:pt>
                <c:pt idx="6">
                  <c:v>416</c:v>
                </c:pt>
                <c:pt idx="7">
                  <c:v>409</c:v>
                </c:pt>
                <c:pt idx="8">
                  <c:v>409</c:v>
                </c:pt>
                <c:pt idx="9">
                  <c:v>415</c:v>
                </c:pt>
                <c:pt idx="10">
                  <c:v>392</c:v>
                </c:pt>
                <c:pt idx="11">
                  <c:v>388</c:v>
                </c:pt>
                <c:pt idx="12">
                  <c:v>389</c:v>
                </c:pt>
                <c:pt idx="13">
                  <c:v>381</c:v>
                </c:pt>
                <c:pt idx="14">
                  <c:v>377</c:v>
                </c:pt>
                <c:pt idx="15">
                  <c:v>381</c:v>
                </c:pt>
                <c:pt idx="16">
                  <c:v>389</c:v>
                </c:pt>
                <c:pt idx="17">
                  <c:v>372</c:v>
                </c:pt>
                <c:pt idx="18">
                  <c:v>374</c:v>
                </c:pt>
                <c:pt idx="19">
                  <c:v>381</c:v>
                </c:pt>
                <c:pt idx="20">
                  <c:v>378</c:v>
                </c:pt>
                <c:pt idx="21">
                  <c:v>385</c:v>
                </c:pt>
                <c:pt idx="22">
                  <c:v>387</c:v>
                </c:pt>
                <c:pt idx="23">
                  <c:v>375</c:v>
                </c:pt>
                <c:pt idx="24">
                  <c:v>376</c:v>
                </c:pt>
              </c:numCache>
            </c:numRef>
          </c:yVal>
          <c:smooth val="1"/>
        </c:ser>
        <c:axId val="137556736"/>
        <c:axId val="137558272"/>
      </c:scatterChart>
      <c:valAx>
        <c:axId val="137556736"/>
        <c:scaling>
          <c:orientation val="minMax"/>
          <c:max val="2020"/>
          <c:min val="1990"/>
        </c:scaling>
        <c:axPos val="b"/>
        <c:numFmt formatCode="General" sourceLinked="1"/>
        <c:tickLblPos val="nextTo"/>
        <c:crossAx val="137558272"/>
        <c:crosses val="autoZero"/>
        <c:crossBetween val="midCat"/>
      </c:valAx>
      <c:valAx>
        <c:axId val="137558272"/>
        <c:scaling>
          <c:orientation val="minMax"/>
        </c:scaling>
        <c:axPos val="l"/>
        <c:majorGridlines/>
        <c:numFmt formatCode="#,##0" sourceLinked="1"/>
        <c:tickLblPos val="nextTo"/>
        <c:crossAx val="137556736"/>
        <c:crosses val="autoZero"/>
        <c:crossBetween val="midCat"/>
      </c:valAx>
    </c:plotArea>
    <c:plotVisOnly val="1"/>
  </c:chart>
  <c:spPr>
    <a:ln>
      <a:noFill/>
    </a:ln>
  </c:sp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9.7858705161854798E-2"/>
          <c:y val="6.0006085637257719E-2"/>
          <c:w val="0.82743073782443866"/>
          <c:h val="0.80459657119025141"/>
        </c:manualLayout>
      </c:layout>
      <c:scatterChart>
        <c:scatterStyle val="lineMarker"/>
        <c:ser>
          <c:idx val="0"/>
          <c:order val="0"/>
          <c:marker>
            <c:symbol val="none"/>
          </c:marker>
          <c:xVal>
            <c:numRef>
              <c:f>'ORP - analyza'!$A$106:$A$130</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analyza'!$C$106:$C$130</c:f>
              <c:numCache>
                <c:formatCode>#,##0</c:formatCode>
                <c:ptCount val="25"/>
                <c:pt idx="0">
                  <c:v>5</c:v>
                </c:pt>
                <c:pt idx="1">
                  <c:v>4</c:v>
                </c:pt>
                <c:pt idx="2">
                  <c:v>2</c:v>
                </c:pt>
                <c:pt idx="3">
                  <c:v>4</c:v>
                </c:pt>
                <c:pt idx="4">
                  <c:v>5</c:v>
                </c:pt>
                <c:pt idx="5">
                  <c:v>2</c:v>
                </c:pt>
                <c:pt idx="6">
                  <c:v>0</c:v>
                </c:pt>
                <c:pt idx="7">
                  <c:v>2</c:v>
                </c:pt>
                <c:pt idx="8">
                  <c:v>3</c:v>
                </c:pt>
                <c:pt idx="9">
                  <c:v>6</c:v>
                </c:pt>
                <c:pt idx="10">
                  <c:v>1</c:v>
                </c:pt>
                <c:pt idx="11">
                  <c:v>2</c:v>
                </c:pt>
                <c:pt idx="12">
                  <c:v>3</c:v>
                </c:pt>
                <c:pt idx="13">
                  <c:v>1</c:v>
                </c:pt>
                <c:pt idx="14">
                  <c:v>7</c:v>
                </c:pt>
                <c:pt idx="15">
                  <c:v>1</c:v>
                </c:pt>
                <c:pt idx="16">
                  <c:v>8</c:v>
                </c:pt>
                <c:pt idx="17">
                  <c:v>0</c:v>
                </c:pt>
                <c:pt idx="18">
                  <c:v>2</c:v>
                </c:pt>
                <c:pt idx="19">
                  <c:v>3</c:v>
                </c:pt>
                <c:pt idx="20">
                  <c:v>1</c:v>
                </c:pt>
                <c:pt idx="21">
                  <c:v>4</c:v>
                </c:pt>
                <c:pt idx="22">
                  <c:v>6</c:v>
                </c:pt>
                <c:pt idx="23">
                  <c:v>1</c:v>
                </c:pt>
                <c:pt idx="24">
                  <c:v>5</c:v>
                </c:pt>
              </c:numCache>
            </c:numRef>
          </c:yVal>
        </c:ser>
        <c:axId val="137577600"/>
        <c:axId val="137579136"/>
      </c:scatterChart>
      <c:valAx>
        <c:axId val="137577600"/>
        <c:scaling>
          <c:orientation val="minMax"/>
          <c:max val="2016"/>
          <c:min val="1990"/>
        </c:scaling>
        <c:axPos val="b"/>
        <c:numFmt formatCode="General" sourceLinked="1"/>
        <c:tickLblPos val="nextTo"/>
        <c:crossAx val="137579136"/>
        <c:crosses val="autoZero"/>
        <c:crossBetween val="midCat"/>
      </c:valAx>
      <c:valAx>
        <c:axId val="137579136"/>
        <c:scaling>
          <c:orientation val="minMax"/>
        </c:scaling>
        <c:axPos val="l"/>
        <c:majorGridlines/>
        <c:numFmt formatCode="#,##0" sourceLinked="1"/>
        <c:tickLblPos val="nextTo"/>
        <c:crossAx val="137577600"/>
        <c:crosses val="autoZero"/>
        <c:crossBetween val="midCat"/>
      </c:valAx>
    </c:plotArea>
    <c:plotVisOnly val="1"/>
  </c:chart>
  <c:spPr>
    <a:ln>
      <a:noFill/>
    </a:ln>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407256497099984"/>
          <c:y val="6.0831839882514317E-2"/>
          <c:w val="0.78598415155686152"/>
          <c:h val="0.80190759041165749"/>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analyza'!$A$184:$A$208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analyza'!$D$184:$D$208</c:f>
              <c:numCache>
                <c:formatCode>#,##0</c:formatCode>
                <c:ptCount val="25"/>
                <c:pt idx="0">
                  <c:v>119</c:v>
                </c:pt>
                <c:pt idx="1">
                  <c:v>120</c:v>
                </c:pt>
                <c:pt idx="2">
                  <c:v>115</c:v>
                </c:pt>
                <c:pt idx="3">
                  <c:v>110</c:v>
                </c:pt>
                <c:pt idx="4">
                  <c:v>105</c:v>
                </c:pt>
                <c:pt idx="5">
                  <c:v>104</c:v>
                </c:pt>
                <c:pt idx="6">
                  <c:v>100</c:v>
                </c:pt>
                <c:pt idx="7">
                  <c:v>97</c:v>
                </c:pt>
                <c:pt idx="8">
                  <c:v>94</c:v>
                </c:pt>
                <c:pt idx="9">
                  <c:v>92</c:v>
                </c:pt>
                <c:pt idx="10">
                  <c:v>100</c:v>
                </c:pt>
                <c:pt idx="11">
                  <c:v>97</c:v>
                </c:pt>
                <c:pt idx="12">
                  <c:v>102</c:v>
                </c:pt>
                <c:pt idx="13">
                  <c:v>100</c:v>
                </c:pt>
                <c:pt idx="14">
                  <c:v>96</c:v>
                </c:pt>
                <c:pt idx="15">
                  <c:v>87</c:v>
                </c:pt>
                <c:pt idx="16">
                  <c:v>89</c:v>
                </c:pt>
                <c:pt idx="17">
                  <c:v>95</c:v>
                </c:pt>
                <c:pt idx="18">
                  <c:v>95</c:v>
                </c:pt>
                <c:pt idx="19">
                  <c:v>91</c:v>
                </c:pt>
                <c:pt idx="20">
                  <c:v>88</c:v>
                </c:pt>
                <c:pt idx="21">
                  <c:v>93</c:v>
                </c:pt>
                <c:pt idx="22">
                  <c:v>87</c:v>
                </c:pt>
                <c:pt idx="23">
                  <c:v>84</c:v>
                </c:pt>
                <c:pt idx="24">
                  <c:v>85</c:v>
                </c:pt>
              </c:numCache>
            </c:numRef>
          </c:yVal>
          <c:smooth val="1"/>
        </c:ser>
        <c:axId val="137615616"/>
        <c:axId val="137617408"/>
      </c:scatterChart>
      <c:valAx>
        <c:axId val="137615616"/>
        <c:scaling>
          <c:orientation val="minMax"/>
          <c:max val="2020"/>
          <c:min val="1990"/>
        </c:scaling>
        <c:axPos val="b"/>
        <c:numFmt formatCode="General" sourceLinked="1"/>
        <c:tickLblPos val="nextTo"/>
        <c:crossAx val="137617408"/>
        <c:crosses val="autoZero"/>
        <c:crossBetween val="midCat"/>
      </c:valAx>
      <c:valAx>
        <c:axId val="137617408"/>
        <c:scaling>
          <c:orientation val="minMax"/>
          <c:min val="80"/>
        </c:scaling>
        <c:axPos val="l"/>
        <c:majorGridlines/>
        <c:numFmt formatCode="#,##0" sourceLinked="1"/>
        <c:tickLblPos val="nextTo"/>
        <c:crossAx val="137615616"/>
        <c:crosses val="autoZero"/>
        <c:crossBetween val="midCat"/>
      </c:valAx>
    </c:plotArea>
    <c:plotVisOnly val="1"/>
  </c:chart>
  <c:spPr>
    <a:ln>
      <a:noFill/>
    </a:ln>
  </c:sp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5998266319501466E-2"/>
          <c:y val="6.0831839882514317E-2"/>
          <c:w val="0.83071153494735839"/>
          <c:h val="0.80190759041165749"/>
        </c:manualLayout>
      </c:layout>
      <c:scatterChart>
        <c:scatterStyle val="lineMarker"/>
        <c:ser>
          <c:idx val="0"/>
          <c:order val="0"/>
          <c:marker>
            <c:symbol val="none"/>
          </c:marker>
          <c:xVal>
            <c:numRef>
              <c:f>'ORP - analyza'!$A$184:$A$208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analyza'!$C$184:$C$208</c:f>
              <c:numCache>
                <c:formatCode>#,##0</c:formatCode>
                <c:ptCount val="25"/>
                <c:pt idx="0">
                  <c:v>1</c:v>
                </c:pt>
                <c:pt idx="1">
                  <c:v>1</c:v>
                </c:pt>
                <c:pt idx="2">
                  <c:v>2</c:v>
                </c:pt>
                <c:pt idx="3">
                  <c:v>0</c:v>
                </c:pt>
                <c:pt idx="4">
                  <c:v>0</c:v>
                </c:pt>
                <c:pt idx="5">
                  <c:v>1</c:v>
                </c:pt>
                <c:pt idx="6">
                  <c:v>0</c:v>
                </c:pt>
                <c:pt idx="7">
                  <c:v>0</c:v>
                </c:pt>
                <c:pt idx="8">
                  <c:v>0</c:v>
                </c:pt>
                <c:pt idx="9">
                  <c:v>0</c:v>
                </c:pt>
                <c:pt idx="10">
                  <c:v>1</c:v>
                </c:pt>
                <c:pt idx="11">
                  <c:v>0</c:v>
                </c:pt>
                <c:pt idx="12">
                  <c:v>0</c:v>
                </c:pt>
                <c:pt idx="13">
                  <c:v>1</c:v>
                </c:pt>
                <c:pt idx="14">
                  <c:v>1</c:v>
                </c:pt>
                <c:pt idx="15">
                  <c:v>0</c:v>
                </c:pt>
                <c:pt idx="16">
                  <c:v>0</c:v>
                </c:pt>
                <c:pt idx="17">
                  <c:v>1</c:v>
                </c:pt>
                <c:pt idx="18">
                  <c:v>0</c:v>
                </c:pt>
                <c:pt idx="19">
                  <c:v>0</c:v>
                </c:pt>
                <c:pt idx="20">
                  <c:v>1</c:v>
                </c:pt>
                <c:pt idx="21">
                  <c:v>0</c:v>
                </c:pt>
                <c:pt idx="22">
                  <c:v>1</c:v>
                </c:pt>
                <c:pt idx="23">
                  <c:v>0</c:v>
                </c:pt>
                <c:pt idx="24">
                  <c:v>2</c:v>
                </c:pt>
              </c:numCache>
            </c:numRef>
          </c:yVal>
        </c:ser>
        <c:axId val="137628288"/>
        <c:axId val="137634176"/>
      </c:scatterChart>
      <c:valAx>
        <c:axId val="137628288"/>
        <c:scaling>
          <c:orientation val="minMax"/>
          <c:max val="2016"/>
          <c:min val="1990"/>
        </c:scaling>
        <c:axPos val="b"/>
        <c:numFmt formatCode="General" sourceLinked="1"/>
        <c:tickLblPos val="nextTo"/>
        <c:crossAx val="137634176"/>
        <c:crosses val="autoZero"/>
        <c:crossBetween val="midCat"/>
      </c:valAx>
      <c:valAx>
        <c:axId val="137634176"/>
        <c:scaling>
          <c:orientation val="minMax"/>
          <c:max val="3"/>
          <c:min val="0"/>
        </c:scaling>
        <c:axPos val="l"/>
        <c:majorGridlines/>
        <c:numFmt formatCode="#,##0" sourceLinked="1"/>
        <c:tickLblPos val="nextTo"/>
        <c:crossAx val="137628288"/>
        <c:crosses val="autoZero"/>
        <c:crossBetween val="midCat"/>
        <c:majorUnit val="1"/>
        <c:minorUnit val="1"/>
      </c:valAx>
    </c:plotArea>
    <c:plotVisOnly val="1"/>
  </c:chart>
  <c:spPr>
    <a:ln>
      <a:noFill/>
    </a:ln>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861741178691844"/>
          <c:y val="6.0831866126924525E-2"/>
          <c:w val="0.78919036399047093"/>
          <c:h val="0.80190750494952967"/>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analyza'!$A$236:$A$260</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analyza'!$D$236:$D$260</c:f>
              <c:numCache>
                <c:formatCode>#,##0</c:formatCode>
                <c:ptCount val="25"/>
                <c:pt idx="0">
                  <c:v>416</c:v>
                </c:pt>
                <c:pt idx="1">
                  <c:v>410</c:v>
                </c:pt>
                <c:pt idx="2">
                  <c:v>410</c:v>
                </c:pt>
                <c:pt idx="3">
                  <c:v>405</c:v>
                </c:pt>
                <c:pt idx="4">
                  <c:v>407</c:v>
                </c:pt>
                <c:pt idx="5">
                  <c:v>411</c:v>
                </c:pt>
                <c:pt idx="6">
                  <c:v>420</c:v>
                </c:pt>
                <c:pt idx="7">
                  <c:v>420</c:v>
                </c:pt>
                <c:pt idx="8">
                  <c:v>416</c:v>
                </c:pt>
                <c:pt idx="9">
                  <c:v>410</c:v>
                </c:pt>
                <c:pt idx="10">
                  <c:v>393</c:v>
                </c:pt>
                <c:pt idx="11">
                  <c:v>387</c:v>
                </c:pt>
                <c:pt idx="12">
                  <c:v>390</c:v>
                </c:pt>
                <c:pt idx="13">
                  <c:v>385</c:v>
                </c:pt>
                <c:pt idx="14">
                  <c:v>380</c:v>
                </c:pt>
                <c:pt idx="15">
                  <c:v>386</c:v>
                </c:pt>
                <c:pt idx="16">
                  <c:v>382</c:v>
                </c:pt>
                <c:pt idx="17">
                  <c:v>377</c:v>
                </c:pt>
                <c:pt idx="18">
                  <c:v>382</c:v>
                </c:pt>
                <c:pt idx="19">
                  <c:v>387</c:v>
                </c:pt>
                <c:pt idx="20">
                  <c:v>387</c:v>
                </c:pt>
                <c:pt idx="21">
                  <c:v>384</c:v>
                </c:pt>
                <c:pt idx="22">
                  <c:v>385</c:v>
                </c:pt>
                <c:pt idx="23">
                  <c:v>389</c:v>
                </c:pt>
                <c:pt idx="24">
                  <c:v>385</c:v>
                </c:pt>
              </c:numCache>
            </c:numRef>
          </c:yVal>
          <c:smooth val="1"/>
        </c:ser>
        <c:axId val="137641984"/>
        <c:axId val="137643520"/>
      </c:scatterChart>
      <c:valAx>
        <c:axId val="137641984"/>
        <c:scaling>
          <c:orientation val="minMax"/>
          <c:max val="2020"/>
          <c:min val="1990"/>
        </c:scaling>
        <c:axPos val="b"/>
        <c:numFmt formatCode="General" sourceLinked="1"/>
        <c:tickLblPos val="nextTo"/>
        <c:crossAx val="137643520"/>
        <c:crosses val="autoZero"/>
        <c:crossBetween val="midCat"/>
      </c:valAx>
      <c:valAx>
        <c:axId val="137643520"/>
        <c:scaling>
          <c:orientation val="minMax"/>
        </c:scaling>
        <c:axPos val="l"/>
        <c:majorGridlines/>
        <c:numFmt formatCode="#,##0" sourceLinked="1"/>
        <c:tickLblPos val="nextTo"/>
        <c:crossAx val="137641984"/>
        <c:crosses val="autoZero"/>
        <c:crossBetween val="midCat"/>
      </c:valAx>
    </c:plotArea>
    <c:plotVisOnly val="1"/>
  </c:chart>
  <c:spPr>
    <a:ln>
      <a:noFill/>
    </a:ln>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4560097897314205E-2"/>
          <c:y val="6.0831866126924525E-2"/>
          <c:w val="0.83324767788007581"/>
          <c:h val="0.80190750494952967"/>
        </c:manualLayout>
      </c:layout>
      <c:scatterChart>
        <c:scatterStyle val="lineMarker"/>
        <c:ser>
          <c:idx val="0"/>
          <c:order val="0"/>
          <c:marker>
            <c:symbol val="none"/>
          </c:marker>
          <c:xVal>
            <c:numRef>
              <c:f>'ORP - analyza'!$A$236:$A$260</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analyza'!$C$236:$C$260</c:f>
              <c:numCache>
                <c:formatCode>#,##0</c:formatCode>
                <c:ptCount val="25"/>
                <c:pt idx="0">
                  <c:v>6</c:v>
                </c:pt>
                <c:pt idx="1">
                  <c:v>3</c:v>
                </c:pt>
                <c:pt idx="2">
                  <c:v>2</c:v>
                </c:pt>
                <c:pt idx="3">
                  <c:v>1</c:v>
                </c:pt>
                <c:pt idx="4">
                  <c:v>1</c:v>
                </c:pt>
                <c:pt idx="5">
                  <c:v>5</c:v>
                </c:pt>
                <c:pt idx="6">
                  <c:v>0</c:v>
                </c:pt>
                <c:pt idx="7">
                  <c:v>2</c:v>
                </c:pt>
                <c:pt idx="8">
                  <c:v>1</c:v>
                </c:pt>
                <c:pt idx="9">
                  <c:v>1</c:v>
                </c:pt>
                <c:pt idx="10">
                  <c:v>0</c:v>
                </c:pt>
                <c:pt idx="11">
                  <c:v>1</c:v>
                </c:pt>
                <c:pt idx="12">
                  <c:v>0</c:v>
                </c:pt>
                <c:pt idx="13">
                  <c:v>2</c:v>
                </c:pt>
                <c:pt idx="14">
                  <c:v>5</c:v>
                </c:pt>
                <c:pt idx="15">
                  <c:v>1</c:v>
                </c:pt>
                <c:pt idx="16">
                  <c:v>1</c:v>
                </c:pt>
                <c:pt idx="17">
                  <c:v>2</c:v>
                </c:pt>
                <c:pt idx="18">
                  <c:v>0</c:v>
                </c:pt>
                <c:pt idx="19">
                  <c:v>1</c:v>
                </c:pt>
                <c:pt idx="20">
                  <c:v>2</c:v>
                </c:pt>
                <c:pt idx="21">
                  <c:v>1</c:v>
                </c:pt>
                <c:pt idx="22">
                  <c:v>2</c:v>
                </c:pt>
                <c:pt idx="23">
                  <c:v>4</c:v>
                </c:pt>
                <c:pt idx="24">
                  <c:v>3</c:v>
                </c:pt>
              </c:numCache>
            </c:numRef>
          </c:yVal>
        </c:ser>
        <c:axId val="137675136"/>
        <c:axId val="137676672"/>
      </c:scatterChart>
      <c:valAx>
        <c:axId val="137675136"/>
        <c:scaling>
          <c:orientation val="minMax"/>
          <c:max val="2016"/>
          <c:min val="1990"/>
        </c:scaling>
        <c:axPos val="b"/>
        <c:numFmt formatCode="General" sourceLinked="1"/>
        <c:tickLblPos val="nextTo"/>
        <c:crossAx val="137676672"/>
        <c:crosses val="autoZero"/>
        <c:crossBetween val="midCat"/>
      </c:valAx>
      <c:valAx>
        <c:axId val="137676672"/>
        <c:scaling>
          <c:orientation val="minMax"/>
        </c:scaling>
        <c:axPos val="l"/>
        <c:majorGridlines/>
        <c:numFmt formatCode="#,##0" sourceLinked="1"/>
        <c:tickLblPos val="nextTo"/>
        <c:crossAx val="137675136"/>
        <c:crosses val="autoZero"/>
        <c:crossBetween val="midCat"/>
      </c:valAx>
    </c:plotArea>
    <c:plotVisOnly val="1"/>
  </c:chart>
  <c:spPr>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707720276397689"/>
          <c:y val="5.9202424493837044E-2"/>
          <c:w val="0.79153271694107996"/>
          <c:h val="0.8072136081350535"/>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analyza'!$A$519:$A$543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analyza'!$D$519:$D$543</c:f>
              <c:numCache>
                <c:formatCode>#,##0</c:formatCode>
                <c:ptCount val="25"/>
                <c:pt idx="0">
                  <c:v>242</c:v>
                </c:pt>
                <c:pt idx="1">
                  <c:v>234</c:v>
                </c:pt>
                <c:pt idx="2">
                  <c:v>218</c:v>
                </c:pt>
                <c:pt idx="3">
                  <c:v>203</c:v>
                </c:pt>
                <c:pt idx="4">
                  <c:v>204</c:v>
                </c:pt>
                <c:pt idx="5">
                  <c:v>191</c:v>
                </c:pt>
                <c:pt idx="6">
                  <c:v>189</c:v>
                </c:pt>
                <c:pt idx="7">
                  <c:v>187</c:v>
                </c:pt>
                <c:pt idx="8">
                  <c:v>175</c:v>
                </c:pt>
                <c:pt idx="9">
                  <c:v>163</c:v>
                </c:pt>
                <c:pt idx="10">
                  <c:v>210</c:v>
                </c:pt>
                <c:pt idx="11">
                  <c:v>206</c:v>
                </c:pt>
                <c:pt idx="12">
                  <c:v>205</c:v>
                </c:pt>
                <c:pt idx="13">
                  <c:v>210</c:v>
                </c:pt>
                <c:pt idx="14">
                  <c:v>221</c:v>
                </c:pt>
                <c:pt idx="15">
                  <c:v>215</c:v>
                </c:pt>
                <c:pt idx="16">
                  <c:v>220</c:v>
                </c:pt>
                <c:pt idx="17">
                  <c:v>212</c:v>
                </c:pt>
                <c:pt idx="18">
                  <c:v>216</c:v>
                </c:pt>
                <c:pt idx="19">
                  <c:v>215</c:v>
                </c:pt>
                <c:pt idx="20">
                  <c:v>217</c:v>
                </c:pt>
                <c:pt idx="21">
                  <c:v>209</c:v>
                </c:pt>
                <c:pt idx="22">
                  <c:v>206</c:v>
                </c:pt>
                <c:pt idx="23">
                  <c:v>208</c:v>
                </c:pt>
                <c:pt idx="24">
                  <c:v>205</c:v>
                </c:pt>
              </c:numCache>
            </c:numRef>
          </c:yVal>
          <c:smooth val="1"/>
        </c:ser>
        <c:axId val="137692672"/>
        <c:axId val="137694208"/>
      </c:scatterChart>
      <c:valAx>
        <c:axId val="137692672"/>
        <c:scaling>
          <c:orientation val="minMax"/>
          <c:max val="2020"/>
          <c:min val="1990"/>
        </c:scaling>
        <c:axPos val="b"/>
        <c:numFmt formatCode="General" sourceLinked="1"/>
        <c:tickLblPos val="nextTo"/>
        <c:crossAx val="137694208"/>
        <c:crosses val="autoZero"/>
        <c:crossBetween val="midCat"/>
      </c:valAx>
      <c:valAx>
        <c:axId val="137694208"/>
        <c:scaling>
          <c:orientation val="minMax"/>
          <c:min val="150"/>
        </c:scaling>
        <c:axPos val="l"/>
        <c:majorGridlines/>
        <c:numFmt formatCode="#,##0" sourceLinked="1"/>
        <c:tickLblPos val="nextTo"/>
        <c:crossAx val="137692672"/>
        <c:crosses val="autoZero"/>
        <c:crossBetween val="midCat"/>
      </c:valAx>
    </c:plotArea>
    <c:plotVisOnly val="1"/>
  </c:chart>
  <c:spPr>
    <a:ln>
      <a:noFill/>
    </a:ln>
  </c:sp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4560097897314205E-2"/>
          <c:y val="5.9202424493837044E-2"/>
          <c:w val="0.83324767788007581"/>
          <c:h val="0.8072136081350535"/>
        </c:manualLayout>
      </c:layout>
      <c:scatterChart>
        <c:scatterStyle val="lineMarker"/>
        <c:ser>
          <c:idx val="0"/>
          <c:order val="0"/>
          <c:marker>
            <c:symbol val="none"/>
          </c:marker>
          <c:xVal>
            <c:numRef>
              <c:f>'ORP - analyza'!$A$519:$A$543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analyza'!$C$519:$C$543</c:f>
              <c:numCache>
                <c:formatCode>#,##0</c:formatCode>
                <c:ptCount val="25"/>
                <c:pt idx="0">
                  <c:v>4</c:v>
                </c:pt>
                <c:pt idx="1">
                  <c:v>5</c:v>
                </c:pt>
                <c:pt idx="2">
                  <c:v>5</c:v>
                </c:pt>
                <c:pt idx="3">
                  <c:v>3</c:v>
                </c:pt>
                <c:pt idx="4">
                  <c:v>3</c:v>
                </c:pt>
                <c:pt idx="5">
                  <c:v>1</c:v>
                </c:pt>
                <c:pt idx="6">
                  <c:v>0</c:v>
                </c:pt>
                <c:pt idx="7">
                  <c:v>3</c:v>
                </c:pt>
                <c:pt idx="8">
                  <c:v>0</c:v>
                </c:pt>
                <c:pt idx="9">
                  <c:v>1</c:v>
                </c:pt>
                <c:pt idx="10">
                  <c:v>2</c:v>
                </c:pt>
                <c:pt idx="11">
                  <c:v>2</c:v>
                </c:pt>
                <c:pt idx="12">
                  <c:v>3</c:v>
                </c:pt>
                <c:pt idx="13">
                  <c:v>1</c:v>
                </c:pt>
                <c:pt idx="14">
                  <c:v>4</c:v>
                </c:pt>
                <c:pt idx="15">
                  <c:v>3</c:v>
                </c:pt>
                <c:pt idx="16">
                  <c:v>3</c:v>
                </c:pt>
                <c:pt idx="17">
                  <c:v>0</c:v>
                </c:pt>
                <c:pt idx="18">
                  <c:v>5</c:v>
                </c:pt>
                <c:pt idx="19">
                  <c:v>2</c:v>
                </c:pt>
                <c:pt idx="20">
                  <c:v>1</c:v>
                </c:pt>
                <c:pt idx="21">
                  <c:v>3</c:v>
                </c:pt>
                <c:pt idx="22">
                  <c:v>2</c:v>
                </c:pt>
                <c:pt idx="23">
                  <c:v>5</c:v>
                </c:pt>
                <c:pt idx="24">
                  <c:v>1</c:v>
                </c:pt>
              </c:numCache>
            </c:numRef>
          </c:yVal>
        </c:ser>
        <c:axId val="137713536"/>
        <c:axId val="137715072"/>
      </c:scatterChart>
      <c:valAx>
        <c:axId val="137713536"/>
        <c:scaling>
          <c:orientation val="minMax"/>
          <c:max val="2016"/>
          <c:min val="1990"/>
        </c:scaling>
        <c:axPos val="b"/>
        <c:numFmt formatCode="General" sourceLinked="1"/>
        <c:tickLblPos val="nextTo"/>
        <c:crossAx val="137715072"/>
        <c:crosses val="autoZero"/>
        <c:crossBetween val="midCat"/>
      </c:valAx>
      <c:valAx>
        <c:axId val="137715072"/>
        <c:scaling>
          <c:orientation val="minMax"/>
        </c:scaling>
        <c:axPos val="l"/>
        <c:majorGridlines/>
        <c:numFmt formatCode="#,##0" sourceLinked="1"/>
        <c:tickLblPos val="nextTo"/>
        <c:crossAx val="137713536"/>
        <c:crosses val="autoZero"/>
        <c:crossBetween val="midCat"/>
      </c:valAx>
    </c:plotArea>
    <c:plotVisOnly val="1"/>
  </c:chart>
  <c:spPr>
    <a:ln>
      <a:noFill/>
    </a:ln>
  </c:sp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6642224877682776"/>
          <c:y val="6.2259850384195216E-2"/>
          <c:w val="0.76348567727125671"/>
          <c:h val="0.79725742625844853"/>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analyza'!$A$545:$A$569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analyza'!$D$545:$D$569</c:f>
              <c:numCache>
                <c:formatCode>#,##0</c:formatCode>
                <c:ptCount val="25"/>
                <c:pt idx="0">
                  <c:v>830</c:v>
                </c:pt>
                <c:pt idx="1">
                  <c:v>848</c:v>
                </c:pt>
                <c:pt idx="2">
                  <c:v>825</c:v>
                </c:pt>
                <c:pt idx="3">
                  <c:v>820</c:v>
                </c:pt>
                <c:pt idx="4">
                  <c:v>805</c:v>
                </c:pt>
                <c:pt idx="5">
                  <c:v>819</c:v>
                </c:pt>
                <c:pt idx="6">
                  <c:v>830</c:v>
                </c:pt>
                <c:pt idx="7">
                  <c:v>822</c:v>
                </c:pt>
                <c:pt idx="8">
                  <c:v>825</c:v>
                </c:pt>
                <c:pt idx="9">
                  <c:v>828</c:v>
                </c:pt>
                <c:pt idx="10">
                  <c:v>835</c:v>
                </c:pt>
                <c:pt idx="11">
                  <c:v>812</c:v>
                </c:pt>
                <c:pt idx="12">
                  <c:v>831</c:v>
                </c:pt>
                <c:pt idx="13">
                  <c:v>876</c:v>
                </c:pt>
                <c:pt idx="14">
                  <c:v>939</c:v>
                </c:pt>
                <c:pt idx="15">
                  <c:v>991</c:v>
                </c:pt>
                <c:pt idx="16">
                  <c:v>936</c:v>
                </c:pt>
                <c:pt idx="17">
                  <c:v>876</c:v>
                </c:pt>
                <c:pt idx="18">
                  <c:v>860</c:v>
                </c:pt>
                <c:pt idx="19">
                  <c:v>842</c:v>
                </c:pt>
                <c:pt idx="20">
                  <c:v>823</c:v>
                </c:pt>
                <c:pt idx="21">
                  <c:v>815</c:v>
                </c:pt>
                <c:pt idx="22">
                  <c:v>850</c:v>
                </c:pt>
                <c:pt idx="23">
                  <c:v>844</c:v>
                </c:pt>
                <c:pt idx="24">
                  <c:v>868</c:v>
                </c:pt>
              </c:numCache>
            </c:numRef>
          </c:yVal>
          <c:smooth val="1"/>
        </c:ser>
        <c:axId val="137726976"/>
        <c:axId val="137741056"/>
      </c:scatterChart>
      <c:valAx>
        <c:axId val="137726976"/>
        <c:scaling>
          <c:orientation val="minMax"/>
          <c:max val="2020"/>
          <c:min val="1990"/>
        </c:scaling>
        <c:axPos val="b"/>
        <c:numFmt formatCode="General" sourceLinked="1"/>
        <c:tickLblPos val="nextTo"/>
        <c:crossAx val="137741056"/>
        <c:crosses val="autoZero"/>
        <c:crossBetween val="midCat"/>
      </c:valAx>
      <c:valAx>
        <c:axId val="137741056"/>
        <c:scaling>
          <c:orientation val="minMax"/>
          <c:min val="700"/>
        </c:scaling>
        <c:axPos val="l"/>
        <c:majorGridlines/>
        <c:numFmt formatCode="#,##0" sourceLinked="1"/>
        <c:tickLblPos val="nextTo"/>
        <c:crossAx val="137726976"/>
        <c:crosses val="autoZero"/>
        <c:crossBetween val="midCat"/>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6581930125748587"/>
          <c:y val="5.7909790147754117E-2"/>
          <c:w val="0.7643425682532391"/>
          <c:h val="0.81142293425155332"/>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analyza'!$A$80:$A$104</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analyza'!$D$80:$D$104</c:f>
              <c:numCache>
                <c:formatCode>#,##0</c:formatCode>
                <c:ptCount val="25"/>
                <c:pt idx="0">
                  <c:v>1055</c:v>
                </c:pt>
                <c:pt idx="1">
                  <c:v>1068</c:v>
                </c:pt>
                <c:pt idx="2">
                  <c:v>1081</c:v>
                </c:pt>
                <c:pt idx="3">
                  <c:v>1081</c:v>
                </c:pt>
                <c:pt idx="4">
                  <c:v>1095</c:v>
                </c:pt>
                <c:pt idx="5">
                  <c:v>1089</c:v>
                </c:pt>
                <c:pt idx="6">
                  <c:v>1078</c:v>
                </c:pt>
                <c:pt idx="7">
                  <c:v>1103</c:v>
                </c:pt>
                <c:pt idx="8">
                  <c:v>1142</c:v>
                </c:pt>
                <c:pt idx="9">
                  <c:v>1155</c:v>
                </c:pt>
                <c:pt idx="10">
                  <c:v>1134</c:v>
                </c:pt>
                <c:pt idx="11">
                  <c:v>1120</c:v>
                </c:pt>
                <c:pt idx="12">
                  <c:v>1136</c:v>
                </c:pt>
                <c:pt idx="13">
                  <c:v>1180</c:v>
                </c:pt>
                <c:pt idx="14">
                  <c:v>1183</c:v>
                </c:pt>
                <c:pt idx="15">
                  <c:v>1198</c:v>
                </c:pt>
                <c:pt idx="16">
                  <c:v>1211</c:v>
                </c:pt>
                <c:pt idx="17">
                  <c:v>1226</c:v>
                </c:pt>
                <c:pt idx="18">
                  <c:v>1206</c:v>
                </c:pt>
                <c:pt idx="19">
                  <c:v>1208</c:v>
                </c:pt>
                <c:pt idx="20">
                  <c:v>1200</c:v>
                </c:pt>
                <c:pt idx="21">
                  <c:v>1203</c:v>
                </c:pt>
                <c:pt idx="22">
                  <c:v>1231</c:v>
                </c:pt>
                <c:pt idx="23">
                  <c:v>1227</c:v>
                </c:pt>
                <c:pt idx="24">
                  <c:v>1243</c:v>
                </c:pt>
              </c:numCache>
            </c:numRef>
          </c:yVal>
          <c:smooth val="1"/>
        </c:ser>
        <c:axId val="122449280"/>
        <c:axId val="122483840"/>
      </c:scatterChart>
      <c:valAx>
        <c:axId val="122449280"/>
        <c:scaling>
          <c:orientation val="minMax"/>
          <c:max val="2020"/>
          <c:min val="1990"/>
        </c:scaling>
        <c:axPos val="b"/>
        <c:numFmt formatCode="General" sourceLinked="1"/>
        <c:tickLblPos val="nextTo"/>
        <c:crossAx val="122483840"/>
        <c:crosses val="autoZero"/>
        <c:crossBetween val="midCat"/>
      </c:valAx>
      <c:valAx>
        <c:axId val="122483840"/>
        <c:scaling>
          <c:orientation val="minMax"/>
          <c:min val="1000"/>
        </c:scaling>
        <c:axPos val="l"/>
        <c:majorGridlines/>
        <c:numFmt formatCode="#,##0" sourceLinked="1"/>
        <c:tickLblPos val="nextTo"/>
        <c:crossAx val="122449280"/>
        <c:crosses val="autoZero"/>
        <c:crossBetween val="midCat"/>
      </c:valAx>
    </c:plotArea>
    <c:plotVisOnly val="1"/>
  </c:chart>
  <c:spPr>
    <a:ln>
      <a:noFill/>
    </a:ln>
  </c:sp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769966917742797"/>
          <c:y val="6.9431101442324519E-2"/>
          <c:w val="0.80901013208943184"/>
          <c:h val="0.77390501073704765"/>
        </c:manualLayout>
      </c:layout>
      <c:scatterChart>
        <c:scatterStyle val="lineMarker"/>
        <c:ser>
          <c:idx val="0"/>
          <c:order val="0"/>
          <c:marker>
            <c:symbol val="none"/>
          </c:marker>
          <c:xVal>
            <c:numRef>
              <c:f>'ORP - analyza'!$A$545:$A$569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analyza'!$C$545:$C$569</c:f>
              <c:numCache>
                <c:formatCode>#,##0</c:formatCode>
                <c:ptCount val="25"/>
                <c:pt idx="0">
                  <c:v>9</c:v>
                </c:pt>
                <c:pt idx="1">
                  <c:v>14</c:v>
                </c:pt>
                <c:pt idx="2">
                  <c:v>11</c:v>
                </c:pt>
                <c:pt idx="3">
                  <c:v>17</c:v>
                </c:pt>
                <c:pt idx="4">
                  <c:v>9</c:v>
                </c:pt>
                <c:pt idx="5">
                  <c:v>7</c:v>
                </c:pt>
                <c:pt idx="6">
                  <c:v>15</c:v>
                </c:pt>
                <c:pt idx="7">
                  <c:v>8</c:v>
                </c:pt>
                <c:pt idx="8">
                  <c:v>14</c:v>
                </c:pt>
                <c:pt idx="9">
                  <c:v>15</c:v>
                </c:pt>
                <c:pt idx="10">
                  <c:v>11</c:v>
                </c:pt>
                <c:pt idx="11">
                  <c:v>8</c:v>
                </c:pt>
                <c:pt idx="12">
                  <c:v>12</c:v>
                </c:pt>
                <c:pt idx="13">
                  <c:v>12</c:v>
                </c:pt>
                <c:pt idx="14">
                  <c:v>17</c:v>
                </c:pt>
                <c:pt idx="15">
                  <c:v>6</c:v>
                </c:pt>
                <c:pt idx="16">
                  <c:v>12</c:v>
                </c:pt>
                <c:pt idx="17">
                  <c:v>9</c:v>
                </c:pt>
                <c:pt idx="18">
                  <c:v>8</c:v>
                </c:pt>
                <c:pt idx="19">
                  <c:v>7</c:v>
                </c:pt>
                <c:pt idx="20">
                  <c:v>3</c:v>
                </c:pt>
                <c:pt idx="21">
                  <c:v>6</c:v>
                </c:pt>
                <c:pt idx="22">
                  <c:v>7</c:v>
                </c:pt>
                <c:pt idx="23">
                  <c:v>6</c:v>
                </c:pt>
                <c:pt idx="24">
                  <c:v>10</c:v>
                </c:pt>
              </c:numCache>
            </c:numRef>
          </c:yVal>
        </c:ser>
        <c:axId val="137747840"/>
        <c:axId val="137770112"/>
      </c:scatterChart>
      <c:valAx>
        <c:axId val="137747840"/>
        <c:scaling>
          <c:orientation val="minMax"/>
          <c:max val="2016"/>
          <c:min val="1990"/>
        </c:scaling>
        <c:axPos val="b"/>
        <c:numFmt formatCode="General" sourceLinked="1"/>
        <c:tickLblPos val="nextTo"/>
        <c:crossAx val="137770112"/>
        <c:crosses val="autoZero"/>
        <c:crossBetween val="midCat"/>
      </c:valAx>
      <c:valAx>
        <c:axId val="137770112"/>
        <c:scaling>
          <c:orientation val="minMax"/>
        </c:scaling>
        <c:axPos val="l"/>
        <c:majorGridlines/>
        <c:numFmt formatCode="#,##0" sourceLinked="1"/>
        <c:tickLblPos val="nextTo"/>
        <c:crossAx val="137747840"/>
        <c:crosses val="autoZero"/>
        <c:crossBetween val="midCat"/>
      </c:valAx>
    </c:plotArea>
    <c:plotVisOnly val="1"/>
  </c:chart>
  <c:spPr>
    <a:ln>
      <a:noFill/>
    </a:ln>
  </c:sp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458488061029691"/>
          <c:y val="6.3149258096314206E-2"/>
          <c:w val="0.79532304543778731"/>
          <c:h val="0.79436116474243212"/>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analyza'!$A$701:$A$725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analyza'!$D$701:$D$725</c:f>
              <c:numCache>
                <c:formatCode>#,##0</c:formatCode>
                <c:ptCount val="25"/>
                <c:pt idx="0">
                  <c:v>149</c:v>
                </c:pt>
                <c:pt idx="1">
                  <c:v>137</c:v>
                </c:pt>
                <c:pt idx="2">
                  <c:v>127</c:v>
                </c:pt>
                <c:pt idx="3">
                  <c:v>129</c:v>
                </c:pt>
                <c:pt idx="4">
                  <c:v>131</c:v>
                </c:pt>
                <c:pt idx="5">
                  <c:v>121</c:v>
                </c:pt>
                <c:pt idx="6">
                  <c:v>111</c:v>
                </c:pt>
                <c:pt idx="7">
                  <c:v>105</c:v>
                </c:pt>
                <c:pt idx="8">
                  <c:v>103</c:v>
                </c:pt>
                <c:pt idx="9">
                  <c:v>100</c:v>
                </c:pt>
                <c:pt idx="10">
                  <c:v>106</c:v>
                </c:pt>
                <c:pt idx="11">
                  <c:v>106</c:v>
                </c:pt>
                <c:pt idx="12">
                  <c:v>100</c:v>
                </c:pt>
                <c:pt idx="13">
                  <c:v>103</c:v>
                </c:pt>
                <c:pt idx="14">
                  <c:v>102</c:v>
                </c:pt>
                <c:pt idx="15">
                  <c:v>113</c:v>
                </c:pt>
                <c:pt idx="16">
                  <c:v>101</c:v>
                </c:pt>
                <c:pt idx="17">
                  <c:v>98</c:v>
                </c:pt>
                <c:pt idx="18">
                  <c:v>98</c:v>
                </c:pt>
                <c:pt idx="19">
                  <c:v>103</c:v>
                </c:pt>
                <c:pt idx="20">
                  <c:v>104</c:v>
                </c:pt>
                <c:pt idx="21">
                  <c:v>99</c:v>
                </c:pt>
                <c:pt idx="22">
                  <c:v>95</c:v>
                </c:pt>
                <c:pt idx="23">
                  <c:v>102</c:v>
                </c:pt>
                <c:pt idx="24">
                  <c:v>103</c:v>
                </c:pt>
              </c:numCache>
            </c:numRef>
          </c:yVal>
          <c:smooth val="1"/>
        </c:ser>
        <c:axId val="137790208"/>
        <c:axId val="137791744"/>
      </c:scatterChart>
      <c:valAx>
        <c:axId val="137790208"/>
        <c:scaling>
          <c:orientation val="minMax"/>
          <c:max val="2020"/>
          <c:min val="1990"/>
        </c:scaling>
        <c:axPos val="b"/>
        <c:numFmt formatCode="General" sourceLinked="1"/>
        <c:tickLblPos val="nextTo"/>
        <c:crossAx val="137791744"/>
        <c:crosses val="autoZero"/>
        <c:crossBetween val="midCat"/>
      </c:valAx>
      <c:valAx>
        <c:axId val="137791744"/>
        <c:scaling>
          <c:orientation val="minMax"/>
          <c:min val="80"/>
        </c:scaling>
        <c:axPos val="l"/>
        <c:majorGridlines/>
        <c:numFmt formatCode="#,##0" sourceLinked="1"/>
        <c:tickLblPos val="nextTo"/>
        <c:crossAx val="137790208"/>
        <c:crosses val="autoZero"/>
        <c:crossBetween val="midCat"/>
      </c:valAx>
    </c:plotArea>
    <c:plotVisOnly val="1"/>
  </c:chart>
  <c:spPr>
    <a:ln>
      <a:noFill/>
    </a:ln>
  </c:sp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6733915967622111E-2"/>
          <c:y val="6.5326821746944194E-2"/>
          <c:w val="0.82941425110545686"/>
          <c:h val="0.78727016056734356"/>
        </c:manualLayout>
      </c:layout>
      <c:scatterChart>
        <c:scatterStyle val="lineMarker"/>
        <c:ser>
          <c:idx val="0"/>
          <c:order val="0"/>
          <c:marker>
            <c:symbol val="none"/>
          </c:marker>
          <c:xVal>
            <c:numRef>
              <c:f>'ORP - analyza'!$A$701:$A$725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analyza'!$C$701:$C$725</c:f>
              <c:numCache>
                <c:formatCode>#,##0</c:formatCode>
                <c:ptCount val="25"/>
                <c:pt idx="0">
                  <c:v>2</c:v>
                </c:pt>
                <c:pt idx="1">
                  <c:v>0</c:v>
                </c:pt>
                <c:pt idx="2">
                  <c:v>3</c:v>
                </c:pt>
                <c:pt idx="3">
                  <c:v>1</c:v>
                </c:pt>
                <c:pt idx="4">
                  <c:v>0</c:v>
                </c:pt>
                <c:pt idx="5">
                  <c:v>0</c:v>
                </c:pt>
                <c:pt idx="6">
                  <c:v>2</c:v>
                </c:pt>
                <c:pt idx="7">
                  <c:v>1</c:v>
                </c:pt>
                <c:pt idx="8">
                  <c:v>1</c:v>
                </c:pt>
                <c:pt idx="9">
                  <c:v>0</c:v>
                </c:pt>
                <c:pt idx="10">
                  <c:v>0</c:v>
                </c:pt>
                <c:pt idx="11">
                  <c:v>0</c:v>
                </c:pt>
                <c:pt idx="12">
                  <c:v>0</c:v>
                </c:pt>
                <c:pt idx="13">
                  <c:v>0</c:v>
                </c:pt>
                <c:pt idx="14">
                  <c:v>2</c:v>
                </c:pt>
                <c:pt idx="15">
                  <c:v>0</c:v>
                </c:pt>
                <c:pt idx="16">
                  <c:v>1</c:v>
                </c:pt>
                <c:pt idx="17">
                  <c:v>0</c:v>
                </c:pt>
                <c:pt idx="18">
                  <c:v>1</c:v>
                </c:pt>
                <c:pt idx="19">
                  <c:v>0</c:v>
                </c:pt>
                <c:pt idx="20">
                  <c:v>0</c:v>
                </c:pt>
                <c:pt idx="21">
                  <c:v>0</c:v>
                </c:pt>
                <c:pt idx="22">
                  <c:v>0</c:v>
                </c:pt>
                <c:pt idx="23">
                  <c:v>0</c:v>
                </c:pt>
                <c:pt idx="24">
                  <c:v>0</c:v>
                </c:pt>
              </c:numCache>
            </c:numRef>
          </c:yVal>
        </c:ser>
        <c:axId val="137811072"/>
        <c:axId val="137812608"/>
      </c:scatterChart>
      <c:valAx>
        <c:axId val="137811072"/>
        <c:scaling>
          <c:orientation val="minMax"/>
          <c:max val="2016"/>
          <c:min val="1990"/>
        </c:scaling>
        <c:axPos val="b"/>
        <c:numFmt formatCode="General" sourceLinked="1"/>
        <c:tickLblPos val="nextTo"/>
        <c:crossAx val="137812608"/>
        <c:crosses val="autoZero"/>
        <c:crossBetween val="midCat"/>
      </c:valAx>
      <c:valAx>
        <c:axId val="137812608"/>
        <c:scaling>
          <c:orientation val="minMax"/>
          <c:max val="4"/>
          <c:min val="0"/>
        </c:scaling>
        <c:axPos val="l"/>
        <c:majorGridlines/>
        <c:numFmt formatCode="#,##0" sourceLinked="1"/>
        <c:tickLblPos val="nextTo"/>
        <c:crossAx val="137811072"/>
        <c:crosses val="autoZero"/>
        <c:crossBetween val="midCat"/>
        <c:majorUnit val="1"/>
        <c:minorUnit val="1"/>
      </c:valAx>
    </c:plotArea>
    <c:plotVisOnly val="1"/>
  </c:chart>
  <c:spPr>
    <a:ln>
      <a:noFill/>
    </a:ln>
  </c:sp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707720276397689"/>
          <c:y val="6.5326821746944194E-2"/>
          <c:w val="0.79153271694107996"/>
          <c:h val="0.78727016056734356"/>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analyza'!$A$727:$A$749</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f>'ORP - analyza'!$D$727:$D$749</c:f>
              <c:numCache>
                <c:formatCode>#,##0</c:formatCode>
                <c:ptCount val="23"/>
                <c:pt idx="0">
                  <c:v>246</c:v>
                </c:pt>
                <c:pt idx="1">
                  <c:v>247</c:v>
                </c:pt>
                <c:pt idx="2">
                  <c:v>249</c:v>
                </c:pt>
                <c:pt idx="3">
                  <c:v>244</c:v>
                </c:pt>
                <c:pt idx="4">
                  <c:v>241</c:v>
                </c:pt>
                <c:pt idx="5">
                  <c:v>227</c:v>
                </c:pt>
                <c:pt idx="6">
                  <c:v>220</c:v>
                </c:pt>
                <c:pt idx="7">
                  <c:v>219</c:v>
                </c:pt>
                <c:pt idx="8">
                  <c:v>212</c:v>
                </c:pt>
                <c:pt idx="9">
                  <c:v>210</c:v>
                </c:pt>
                <c:pt idx="10">
                  <c:v>209</c:v>
                </c:pt>
                <c:pt idx="11">
                  <c:v>214</c:v>
                </c:pt>
                <c:pt idx="12">
                  <c:v>220</c:v>
                </c:pt>
                <c:pt idx="13">
                  <c:v>215</c:v>
                </c:pt>
                <c:pt idx="14">
                  <c:v>217</c:v>
                </c:pt>
                <c:pt idx="15">
                  <c:v>214</c:v>
                </c:pt>
                <c:pt idx="16">
                  <c:v>217</c:v>
                </c:pt>
                <c:pt idx="17">
                  <c:v>208</c:v>
                </c:pt>
                <c:pt idx="18">
                  <c:v>210</c:v>
                </c:pt>
                <c:pt idx="19">
                  <c:v>208</c:v>
                </c:pt>
                <c:pt idx="20">
                  <c:v>211</c:v>
                </c:pt>
                <c:pt idx="21">
                  <c:v>209</c:v>
                </c:pt>
                <c:pt idx="22">
                  <c:v>208</c:v>
                </c:pt>
              </c:numCache>
            </c:numRef>
          </c:yVal>
          <c:smooth val="1"/>
        </c:ser>
        <c:axId val="137841664"/>
        <c:axId val="137872128"/>
      </c:scatterChart>
      <c:valAx>
        <c:axId val="137841664"/>
        <c:scaling>
          <c:orientation val="minMax"/>
          <c:max val="2020"/>
          <c:min val="1990"/>
        </c:scaling>
        <c:axPos val="b"/>
        <c:numFmt formatCode="General" sourceLinked="1"/>
        <c:tickLblPos val="nextTo"/>
        <c:crossAx val="137872128"/>
        <c:crosses val="autoZero"/>
        <c:crossBetween val="midCat"/>
      </c:valAx>
      <c:valAx>
        <c:axId val="137872128"/>
        <c:scaling>
          <c:orientation val="minMax"/>
          <c:min val="150"/>
        </c:scaling>
        <c:axPos val="l"/>
        <c:majorGridlines/>
        <c:numFmt formatCode="#,##0" sourceLinked="1"/>
        <c:tickLblPos val="nextTo"/>
        <c:crossAx val="137841664"/>
        <c:crosses val="autoZero"/>
        <c:crossBetween val="midCat"/>
      </c:valAx>
    </c:plotArea>
    <c:plotVisOnly val="1"/>
  </c:chart>
  <c:spPr>
    <a:ln>
      <a:noFill/>
    </a:ln>
  </c:sp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5634655565827689E-2"/>
          <c:y val="6.5326821746944194E-2"/>
          <c:w val="0.8313527455517371"/>
          <c:h val="0.78727016056734356"/>
        </c:manualLayout>
      </c:layout>
      <c:scatterChart>
        <c:scatterStyle val="lineMarker"/>
        <c:ser>
          <c:idx val="0"/>
          <c:order val="0"/>
          <c:marker>
            <c:symbol val="none"/>
          </c:marker>
          <c:xVal>
            <c:numRef>
              <c:f>'ORP - analyza'!$A$727:$A$749</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f>'ORP - analyza'!$C$727:$C$749</c:f>
              <c:numCache>
                <c:formatCode>#,##0</c:formatCode>
                <c:ptCount val="23"/>
                <c:pt idx="0">
                  <c:v>1</c:v>
                </c:pt>
                <c:pt idx="1">
                  <c:v>3</c:v>
                </c:pt>
                <c:pt idx="2">
                  <c:v>7</c:v>
                </c:pt>
                <c:pt idx="3">
                  <c:v>1</c:v>
                </c:pt>
                <c:pt idx="4">
                  <c:v>4</c:v>
                </c:pt>
                <c:pt idx="5">
                  <c:v>2</c:v>
                </c:pt>
                <c:pt idx="6">
                  <c:v>3</c:v>
                </c:pt>
                <c:pt idx="7">
                  <c:v>4</c:v>
                </c:pt>
                <c:pt idx="8">
                  <c:v>0</c:v>
                </c:pt>
                <c:pt idx="9">
                  <c:v>2</c:v>
                </c:pt>
                <c:pt idx="10">
                  <c:v>2</c:v>
                </c:pt>
                <c:pt idx="11">
                  <c:v>1</c:v>
                </c:pt>
                <c:pt idx="12">
                  <c:v>3</c:v>
                </c:pt>
                <c:pt idx="13">
                  <c:v>0</c:v>
                </c:pt>
                <c:pt idx="14">
                  <c:v>0</c:v>
                </c:pt>
                <c:pt idx="15">
                  <c:v>0</c:v>
                </c:pt>
                <c:pt idx="16">
                  <c:v>1</c:v>
                </c:pt>
                <c:pt idx="17">
                  <c:v>1</c:v>
                </c:pt>
                <c:pt idx="18">
                  <c:v>2</c:v>
                </c:pt>
                <c:pt idx="19">
                  <c:v>4</c:v>
                </c:pt>
                <c:pt idx="20">
                  <c:v>3</c:v>
                </c:pt>
                <c:pt idx="21">
                  <c:v>3</c:v>
                </c:pt>
                <c:pt idx="22">
                  <c:v>4</c:v>
                </c:pt>
              </c:numCache>
            </c:numRef>
          </c:yVal>
        </c:ser>
        <c:axId val="137878912"/>
        <c:axId val="138302592"/>
      </c:scatterChart>
      <c:valAx>
        <c:axId val="137878912"/>
        <c:scaling>
          <c:orientation val="minMax"/>
          <c:max val="2016"/>
          <c:min val="1990"/>
        </c:scaling>
        <c:axPos val="b"/>
        <c:numFmt formatCode="General" sourceLinked="1"/>
        <c:tickLblPos val="nextTo"/>
        <c:crossAx val="138302592"/>
        <c:crosses val="autoZero"/>
        <c:crossBetween val="midCat"/>
      </c:valAx>
      <c:valAx>
        <c:axId val="138302592"/>
        <c:scaling>
          <c:orientation val="minMax"/>
        </c:scaling>
        <c:axPos val="l"/>
        <c:majorGridlines/>
        <c:numFmt formatCode="#,##0" sourceLinked="1"/>
        <c:tickLblPos val="nextTo"/>
        <c:crossAx val="137878912"/>
        <c:crosses val="autoZero"/>
        <c:crossBetween val="midCat"/>
      </c:valAx>
    </c:plotArea>
    <c:plotVisOnly val="1"/>
  </c:chart>
  <c:spPr>
    <a:ln>
      <a:noFill/>
    </a:ln>
  </c:sp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707720276397689"/>
          <c:y val="6.6306734364412007E-2"/>
          <c:w val="0.79153271694107996"/>
          <c:h val="0.78407917946344974"/>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analyza'!$A$803:$A$827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analyza'!$D$803:$D$827</c:f>
              <c:numCache>
                <c:formatCode>#,##0</c:formatCode>
                <c:ptCount val="25"/>
                <c:pt idx="0">
                  <c:v>276</c:v>
                </c:pt>
                <c:pt idx="1">
                  <c:v>266</c:v>
                </c:pt>
                <c:pt idx="2">
                  <c:v>256</c:v>
                </c:pt>
                <c:pt idx="3">
                  <c:v>249</c:v>
                </c:pt>
                <c:pt idx="4">
                  <c:v>254</c:v>
                </c:pt>
                <c:pt idx="5">
                  <c:v>251</c:v>
                </c:pt>
                <c:pt idx="6">
                  <c:v>250</c:v>
                </c:pt>
                <c:pt idx="7">
                  <c:v>249</c:v>
                </c:pt>
                <c:pt idx="8">
                  <c:v>244</c:v>
                </c:pt>
                <c:pt idx="9">
                  <c:v>248</c:v>
                </c:pt>
                <c:pt idx="10">
                  <c:v>256</c:v>
                </c:pt>
                <c:pt idx="11">
                  <c:v>253</c:v>
                </c:pt>
                <c:pt idx="12">
                  <c:v>252</c:v>
                </c:pt>
                <c:pt idx="13">
                  <c:v>245</c:v>
                </c:pt>
                <c:pt idx="14">
                  <c:v>247</c:v>
                </c:pt>
                <c:pt idx="15">
                  <c:v>255</c:v>
                </c:pt>
                <c:pt idx="16">
                  <c:v>253</c:v>
                </c:pt>
                <c:pt idx="17">
                  <c:v>245</c:v>
                </c:pt>
                <c:pt idx="18">
                  <c:v>245</c:v>
                </c:pt>
                <c:pt idx="19">
                  <c:v>251</c:v>
                </c:pt>
                <c:pt idx="20">
                  <c:v>255</c:v>
                </c:pt>
                <c:pt idx="21">
                  <c:v>247</c:v>
                </c:pt>
                <c:pt idx="22">
                  <c:v>240</c:v>
                </c:pt>
                <c:pt idx="23">
                  <c:v>250</c:v>
                </c:pt>
                <c:pt idx="24">
                  <c:v>249</c:v>
                </c:pt>
              </c:numCache>
            </c:numRef>
          </c:yVal>
          <c:smooth val="1"/>
        </c:ser>
        <c:axId val="138493952"/>
        <c:axId val="138495488"/>
      </c:scatterChart>
      <c:valAx>
        <c:axId val="138493952"/>
        <c:scaling>
          <c:orientation val="minMax"/>
          <c:max val="2020"/>
          <c:min val="1990"/>
        </c:scaling>
        <c:axPos val="b"/>
        <c:numFmt formatCode="General" sourceLinked="1"/>
        <c:tickLblPos val="nextTo"/>
        <c:crossAx val="138495488"/>
        <c:crosses val="autoZero"/>
        <c:crossBetween val="midCat"/>
      </c:valAx>
      <c:valAx>
        <c:axId val="138495488"/>
        <c:scaling>
          <c:orientation val="minMax"/>
        </c:scaling>
        <c:axPos val="l"/>
        <c:majorGridlines/>
        <c:numFmt formatCode="#,##0" sourceLinked="1"/>
        <c:tickLblPos val="nextTo"/>
        <c:crossAx val="138493952"/>
        <c:crosses val="autoZero"/>
        <c:crossBetween val="midCat"/>
      </c:valAx>
    </c:plotArea>
    <c:plotVisOnly val="1"/>
  </c:chart>
  <c:spPr>
    <a:ln>
      <a:noFill/>
    </a:ln>
  </c:spPr>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5273755087612697E-2"/>
          <c:y val="6.5006578941302268E-2"/>
          <c:w val="0.83198917671175898"/>
          <c:h val="0.78831299716649106"/>
        </c:manualLayout>
      </c:layout>
      <c:scatterChart>
        <c:scatterStyle val="lineMarker"/>
        <c:ser>
          <c:idx val="0"/>
          <c:order val="0"/>
          <c:marker>
            <c:symbol val="none"/>
          </c:marker>
          <c:xVal>
            <c:numRef>
              <c:f>'ORP - analyza'!$A$803:$A$827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analyza'!$C$803:$C$827</c:f>
              <c:numCache>
                <c:formatCode>#,##0</c:formatCode>
                <c:ptCount val="25"/>
                <c:pt idx="0">
                  <c:v>3</c:v>
                </c:pt>
                <c:pt idx="1">
                  <c:v>4</c:v>
                </c:pt>
                <c:pt idx="2">
                  <c:v>3</c:v>
                </c:pt>
                <c:pt idx="3">
                  <c:v>3</c:v>
                </c:pt>
                <c:pt idx="4">
                  <c:v>3</c:v>
                </c:pt>
                <c:pt idx="5">
                  <c:v>1</c:v>
                </c:pt>
                <c:pt idx="6">
                  <c:v>1</c:v>
                </c:pt>
                <c:pt idx="7">
                  <c:v>0</c:v>
                </c:pt>
                <c:pt idx="8">
                  <c:v>2</c:v>
                </c:pt>
                <c:pt idx="9">
                  <c:v>0</c:v>
                </c:pt>
                <c:pt idx="10">
                  <c:v>1</c:v>
                </c:pt>
                <c:pt idx="11">
                  <c:v>0</c:v>
                </c:pt>
                <c:pt idx="12">
                  <c:v>1</c:v>
                </c:pt>
                <c:pt idx="13">
                  <c:v>0</c:v>
                </c:pt>
                <c:pt idx="14">
                  <c:v>2</c:v>
                </c:pt>
                <c:pt idx="15">
                  <c:v>2</c:v>
                </c:pt>
                <c:pt idx="16">
                  <c:v>0</c:v>
                </c:pt>
                <c:pt idx="17">
                  <c:v>3</c:v>
                </c:pt>
                <c:pt idx="18">
                  <c:v>3</c:v>
                </c:pt>
                <c:pt idx="19">
                  <c:v>3</c:v>
                </c:pt>
                <c:pt idx="20">
                  <c:v>3</c:v>
                </c:pt>
                <c:pt idx="21">
                  <c:v>1</c:v>
                </c:pt>
                <c:pt idx="22">
                  <c:v>1</c:v>
                </c:pt>
                <c:pt idx="23">
                  <c:v>0</c:v>
                </c:pt>
                <c:pt idx="24">
                  <c:v>4</c:v>
                </c:pt>
              </c:numCache>
            </c:numRef>
          </c:yVal>
        </c:ser>
        <c:axId val="138527104"/>
        <c:axId val="138528640"/>
      </c:scatterChart>
      <c:valAx>
        <c:axId val="138527104"/>
        <c:scaling>
          <c:orientation val="minMax"/>
          <c:max val="2016"/>
          <c:min val="1990"/>
        </c:scaling>
        <c:axPos val="b"/>
        <c:numFmt formatCode="General" sourceLinked="1"/>
        <c:tickLblPos val="nextTo"/>
        <c:crossAx val="138528640"/>
        <c:crosses val="autoZero"/>
        <c:crossBetween val="midCat"/>
      </c:valAx>
      <c:valAx>
        <c:axId val="138528640"/>
        <c:scaling>
          <c:orientation val="minMax"/>
          <c:max val="5"/>
          <c:min val="0"/>
        </c:scaling>
        <c:axPos val="l"/>
        <c:majorGridlines/>
        <c:numFmt formatCode="#,##0" sourceLinked="1"/>
        <c:tickLblPos val="nextTo"/>
        <c:crossAx val="138527104"/>
        <c:crosses val="autoZero"/>
        <c:crossBetween val="midCat"/>
        <c:majorUnit val="1"/>
        <c:minorUnit val="1"/>
      </c:valAx>
    </c:plotArea>
    <c:plotVisOnly val="1"/>
  </c:chart>
  <c:spPr>
    <a:ln>
      <a:noFill/>
    </a:ln>
  </c:spPr>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707720276397689"/>
          <c:y val="7.3674106949250751E-2"/>
          <c:w val="0.79153271694107996"/>
          <c:h val="0.76008811507209773"/>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analyza'!$A$855:$A$879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analyza'!$D$855:$D$879</c:f>
              <c:numCache>
                <c:formatCode>#,##0</c:formatCode>
                <c:ptCount val="25"/>
                <c:pt idx="0">
                  <c:v>185</c:v>
                </c:pt>
                <c:pt idx="1">
                  <c:v>174</c:v>
                </c:pt>
                <c:pt idx="2">
                  <c:v>157</c:v>
                </c:pt>
                <c:pt idx="3">
                  <c:v>153</c:v>
                </c:pt>
                <c:pt idx="4">
                  <c:v>156</c:v>
                </c:pt>
                <c:pt idx="5">
                  <c:v>153</c:v>
                </c:pt>
                <c:pt idx="6">
                  <c:v>140</c:v>
                </c:pt>
                <c:pt idx="7">
                  <c:v>137</c:v>
                </c:pt>
                <c:pt idx="8">
                  <c:v>135</c:v>
                </c:pt>
                <c:pt idx="9">
                  <c:v>135</c:v>
                </c:pt>
                <c:pt idx="10">
                  <c:v>162</c:v>
                </c:pt>
                <c:pt idx="11">
                  <c:v>163</c:v>
                </c:pt>
                <c:pt idx="12">
                  <c:v>165</c:v>
                </c:pt>
                <c:pt idx="13">
                  <c:v>161</c:v>
                </c:pt>
                <c:pt idx="14">
                  <c:v>165</c:v>
                </c:pt>
                <c:pt idx="15">
                  <c:v>158</c:v>
                </c:pt>
                <c:pt idx="16">
                  <c:v>159</c:v>
                </c:pt>
                <c:pt idx="17">
                  <c:v>161</c:v>
                </c:pt>
                <c:pt idx="18">
                  <c:v>159</c:v>
                </c:pt>
                <c:pt idx="19">
                  <c:v>155</c:v>
                </c:pt>
                <c:pt idx="20">
                  <c:v>146</c:v>
                </c:pt>
                <c:pt idx="21">
                  <c:v>137</c:v>
                </c:pt>
                <c:pt idx="22">
                  <c:v>144</c:v>
                </c:pt>
                <c:pt idx="23">
                  <c:v>146</c:v>
                </c:pt>
                <c:pt idx="24">
                  <c:v>149</c:v>
                </c:pt>
              </c:numCache>
            </c:numRef>
          </c:yVal>
          <c:smooth val="1"/>
        </c:ser>
        <c:axId val="138540544"/>
        <c:axId val="138542080"/>
      </c:scatterChart>
      <c:valAx>
        <c:axId val="138540544"/>
        <c:scaling>
          <c:orientation val="minMax"/>
          <c:max val="2020"/>
          <c:min val="1990"/>
        </c:scaling>
        <c:axPos val="b"/>
        <c:numFmt formatCode="General" sourceLinked="1"/>
        <c:tickLblPos val="nextTo"/>
        <c:crossAx val="138542080"/>
        <c:crosses val="autoZero"/>
        <c:crossBetween val="midCat"/>
      </c:valAx>
      <c:valAx>
        <c:axId val="138542080"/>
        <c:scaling>
          <c:orientation val="minMax"/>
          <c:min val="120"/>
        </c:scaling>
        <c:axPos val="l"/>
        <c:majorGridlines/>
        <c:numFmt formatCode="#,##0" sourceLinked="1"/>
        <c:tickLblPos val="nextTo"/>
        <c:crossAx val="138540544"/>
        <c:crosses val="autoZero"/>
        <c:crossBetween val="midCat"/>
      </c:valAx>
    </c:plotArea>
    <c:plotVisOnly val="1"/>
  </c:chart>
  <c:spPr>
    <a:ln>
      <a:noFill/>
    </a:ln>
  </c:spPr>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lang val="cs-CZ"/>
  <c:chart>
    <c:autoTitleDeleted val="1"/>
    <c:plotArea>
      <c:layout/>
      <c:scatterChart>
        <c:scatterStyle val="lineMarker"/>
        <c:ser>
          <c:idx val="0"/>
          <c:order val="0"/>
          <c:marker>
            <c:symbol val="none"/>
          </c:marker>
          <c:xVal>
            <c:numRef>
              <c:f>'ORP - analyza'!$A$855:$A$879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analyza'!$C$855:$C$879</c:f>
              <c:numCache>
                <c:formatCode>#,##0</c:formatCode>
                <c:ptCount val="25"/>
                <c:pt idx="0">
                  <c:v>4</c:v>
                </c:pt>
                <c:pt idx="1">
                  <c:v>1</c:v>
                </c:pt>
                <c:pt idx="2">
                  <c:v>1</c:v>
                </c:pt>
                <c:pt idx="3">
                  <c:v>1</c:v>
                </c:pt>
                <c:pt idx="4">
                  <c:v>2</c:v>
                </c:pt>
                <c:pt idx="5">
                  <c:v>2</c:v>
                </c:pt>
                <c:pt idx="6">
                  <c:v>0</c:v>
                </c:pt>
                <c:pt idx="7">
                  <c:v>0</c:v>
                </c:pt>
                <c:pt idx="8">
                  <c:v>0</c:v>
                </c:pt>
                <c:pt idx="9">
                  <c:v>4</c:v>
                </c:pt>
                <c:pt idx="10">
                  <c:v>0</c:v>
                </c:pt>
                <c:pt idx="11">
                  <c:v>2</c:v>
                </c:pt>
                <c:pt idx="12">
                  <c:v>2</c:v>
                </c:pt>
                <c:pt idx="13">
                  <c:v>1</c:v>
                </c:pt>
                <c:pt idx="14">
                  <c:v>4</c:v>
                </c:pt>
                <c:pt idx="15">
                  <c:v>0</c:v>
                </c:pt>
                <c:pt idx="16">
                  <c:v>1</c:v>
                </c:pt>
                <c:pt idx="17">
                  <c:v>2</c:v>
                </c:pt>
                <c:pt idx="18">
                  <c:v>0</c:v>
                </c:pt>
                <c:pt idx="19">
                  <c:v>1</c:v>
                </c:pt>
                <c:pt idx="20">
                  <c:v>1</c:v>
                </c:pt>
                <c:pt idx="21">
                  <c:v>2</c:v>
                </c:pt>
                <c:pt idx="22">
                  <c:v>1</c:v>
                </c:pt>
                <c:pt idx="23">
                  <c:v>0</c:v>
                </c:pt>
                <c:pt idx="24">
                  <c:v>2</c:v>
                </c:pt>
              </c:numCache>
            </c:numRef>
          </c:yVal>
        </c:ser>
        <c:axId val="138647424"/>
        <c:axId val="138648960"/>
      </c:scatterChart>
      <c:valAx>
        <c:axId val="138647424"/>
        <c:scaling>
          <c:orientation val="minMax"/>
          <c:max val="2016"/>
          <c:min val="1990"/>
        </c:scaling>
        <c:axPos val="b"/>
        <c:numFmt formatCode="General" sourceLinked="1"/>
        <c:tickLblPos val="nextTo"/>
        <c:crossAx val="138648960"/>
        <c:crosses val="autoZero"/>
        <c:crossBetween val="midCat"/>
      </c:valAx>
      <c:valAx>
        <c:axId val="138648960"/>
        <c:scaling>
          <c:orientation val="minMax"/>
          <c:max val="5"/>
          <c:min val="0"/>
        </c:scaling>
        <c:axPos val="l"/>
        <c:majorGridlines/>
        <c:numFmt formatCode="#,##0" sourceLinked="1"/>
        <c:tickLblPos val="nextTo"/>
        <c:crossAx val="138647424"/>
        <c:crosses val="autoZero"/>
        <c:crossBetween val="midCat"/>
        <c:majorUnit val="1"/>
        <c:minorUnit val="1"/>
      </c:valAx>
    </c:plotArea>
    <c:plotVisOnly val="1"/>
  </c:chart>
  <c:spPr>
    <a:ln>
      <a:noFill/>
    </a:ln>
  </c:spPr>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344786319627208"/>
          <c:y val="6.0278826229724053E-2"/>
          <c:w val="0.79705222378628759"/>
          <c:h val="0.80370842049057889"/>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analyza'!$A$132:$A$156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analyza'!$D$132:$D$156</c:f>
              <c:numCache>
                <c:formatCode>#,##0</c:formatCode>
                <c:ptCount val="25"/>
                <c:pt idx="0">
                  <c:v>730</c:v>
                </c:pt>
                <c:pt idx="1">
                  <c:v>739</c:v>
                </c:pt>
                <c:pt idx="2">
                  <c:v>717</c:v>
                </c:pt>
                <c:pt idx="3">
                  <c:v>733</c:v>
                </c:pt>
                <c:pt idx="4">
                  <c:v>739</c:v>
                </c:pt>
                <c:pt idx="5">
                  <c:v>755</c:v>
                </c:pt>
                <c:pt idx="6">
                  <c:v>750</c:v>
                </c:pt>
                <c:pt idx="7">
                  <c:v>747</c:v>
                </c:pt>
                <c:pt idx="8">
                  <c:v>750</c:v>
                </c:pt>
                <c:pt idx="9">
                  <c:v>741</c:v>
                </c:pt>
                <c:pt idx="10">
                  <c:v>718</c:v>
                </c:pt>
                <c:pt idx="11">
                  <c:v>711</c:v>
                </c:pt>
                <c:pt idx="12">
                  <c:v>709</c:v>
                </c:pt>
                <c:pt idx="13">
                  <c:v>705</c:v>
                </c:pt>
                <c:pt idx="14">
                  <c:v>705</c:v>
                </c:pt>
                <c:pt idx="15">
                  <c:v>707</c:v>
                </c:pt>
                <c:pt idx="16">
                  <c:v>715</c:v>
                </c:pt>
                <c:pt idx="17">
                  <c:v>728</c:v>
                </c:pt>
                <c:pt idx="18">
                  <c:v>722</c:v>
                </c:pt>
                <c:pt idx="19">
                  <c:v>711</c:v>
                </c:pt>
                <c:pt idx="20">
                  <c:v>691</c:v>
                </c:pt>
                <c:pt idx="21">
                  <c:v>661</c:v>
                </c:pt>
                <c:pt idx="22">
                  <c:v>661</c:v>
                </c:pt>
                <c:pt idx="23">
                  <c:v>666</c:v>
                </c:pt>
                <c:pt idx="24">
                  <c:v>672</c:v>
                </c:pt>
              </c:numCache>
            </c:numRef>
          </c:yVal>
          <c:smooth val="1"/>
        </c:ser>
        <c:axId val="138767360"/>
        <c:axId val="138769152"/>
      </c:scatterChart>
      <c:valAx>
        <c:axId val="138767360"/>
        <c:scaling>
          <c:orientation val="minMax"/>
          <c:max val="2020"/>
          <c:min val="1990"/>
        </c:scaling>
        <c:axPos val="b"/>
        <c:numFmt formatCode="General" sourceLinked="1"/>
        <c:tickLblPos val="nextTo"/>
        <c:crossAx val="138769152"/>
        <c:crosses val="autoZero"/>
        <c:crossBetween val="midCat"/>
      </c:valAx>
      <c:valAx>
        <c:axId val="138769152"/>
        <c:scaling>
          <c:orientation val="minMax"/>
          <c:min val="600"/>
        </c:scaling>
        <c:axPos val="l"/>
        <c:majorGridlines/>
        <c:numFmt formatCode="#,##0" sourceLinked="1"/>
        <c:tickLblPos val="nextTo"/>
        <c:crossAx val="138767360"/>
        <c:crosses val="autoZero"/>
        <c:crossBetween val="midCat"/>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98067949839604"/>
          <c:y val="6.4689460584720193E-2"/>
          <c:w val="0.80530876348789771"/>
          <c:h val="0.78934565932994594"/>
        </c:manualLayout>
      </c:layout>
      <c:scatterChart>
        <c:scatterStyle val="lineMarker"/>
        <c:ser>
          <c:idx val="0"/>
          <c:order val="0"/>
          <c:marker>
            <c:symbol val="none"/>
          </c:marker>
          <c:xVal>
            <c:numRef>
              <c:f>'ORP - analyza'!$A$80:$A$104</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analyza'!$C$80:$C$104</c:f>
              <c:numCache>
                <c:formatCode>#,##0</c:formatCode>
                <c:ptCount val="25"/>
                <c:pt idx="0">
                  <c:v>16</c:v>
                </c:pt>
                <c:pt idx="1">
                  <c:v>9</c:v>
                </c:pt>
                <c:pt idx="2">
                  <c:v>16</c:v>
                </c:pt>
                <c:pt idx="3">
                  <c:v>17</c:v>
                </c:pt>
                <c:pt idx="4">
                  <c:v>12</c:v>
                </c:pt>
                <c:pt idx="5">
                  <c:v>12</c:v>
                </c:pt>
                <c:pt idx="6">
                  <c:v>10</c:v>
                </c:pt>
                <c:pt idx="7">
                  <c:v>17</c:v>
                </c:pt>
                <c:pt idx="8">
                  <c:v>22</c:v>
                </c:pt>
                <c:pt idx="9">
                  <c:v>10</c:v>
                </c:pt>
                <c:pt idx="10">
                  <c:v>14</c:v>
                </c:pt>
                <c:pt idx="11">
                  <c:v>6</c:v>
                </c:pt>
                <c:pt idx="12">
                  <c:v>8</c:v>
                </c:pt>
                <c:pt idx="13">
                  <c:v>13</c:v>
                </c:pt>
                <c:pt idx="14">
                  <c:v>12</c:v>
                </c:pt>
                <c:pt idx="15">
                  <c:v>13</c:v>
                </c:pt>
                <c:pt idx="16">
                  <c:v>10</c:v>
                </c:pt>
                <c:pt idx="17">
                  <c:v>12</c:v>
                </c:pt>
                <c:pt idx="18">
                  <c:v>7</c:v>
                </c:pt>
                <c:pt idx="19">
                  <c:v>15</c:v>
                </c:pt>
                <c:pt idx="20">
                  <c:v>8</c:v>
                </c:pt>
                <c:pt idx="21">
                  <c:v>7</c:v>
                </c:pt>
                <c:pt idx="22">
                  <c:v>18</c:v>
                </c:pt>
                <c:pt idx="23">
                  <c:v>16</c:v>
                </c:pt>
                <c:pt idx="24">
                  <c:v>17</c:v>
                </c:pt>
              </c:numCache>
            </c:numRef>
          </c:yVal>
        </c:ser>
        <c:axId val="124394880"/>
        <c:axId val="124401536"/>
      </c:scatterChart>
      <c:valAx>
        <c:axId val="124394880"/>
        <c:scaling>
          <c:orientation val="minMax"/>
          <c:max val="2016"/>
          <c:min val="1990"/>
        </c:scaling>
        <c:axPos val="b"/>
        <c:numFmt formatCode="General" sourceLinked="1"/>
        <c:tickLblPos val="nextTo"/>
        <c:crossAx val="124401536"/>
        <c:crosses val="autoZero"/>
        <c:crossBetween val="midCat"/>
      </c:valAx>
      <c:valAx>
        <c:axId val="124401536"/>
        <c:scaling>
          <c:orientation val="minMax"/>
        </c:scaling>
        <c:axPos val="l"/>
        <c:majorGridlines/>
        <c:numFmt formatCode="#,##0" sourceLinked="1"/>
        <c:tickLblPos val="nextTo"/>
        <c:crossAx val="124394880"/>
        <c:crosses val="autoZero"/>
        <c:crossBetween val="midCat"/>
      </c:valAx>
    </c:plotArea>
    <c:plotVisOnly val="1"/>
  </c:chart>
  <c:spPr>
    <a:ln>
      <a:noFill/>
    </a:ln>
  </c:sp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51741445468916"/>
          <c:y val="6.0278826229724053E-2"/>
          <c:w val="0.80606049822193249"/>
          <c:h val="0.80370842049057889"/>
        </c:manualLayout>
      </c:layout>
      <c:scatterChart>
        <c:scatterStyle val="lineMarker"/>
        <c:ser>
          <c:idx val="0"/>
          <c:order val="0"/>
          <c:marker>
            <c:symbol val="none"/>
          </c:marker>
          <c:xVal>
            <c:numRef>
              <c:f>'ORP - analyza'!$A$132:$A$156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analyza'!$C$132:$C$156</c:f>
              <c:numCache>
                <c:formatCode>#,##0</c:formatCode>
                <c:ptCount val="25"/>
                <c:pt idx="0">
                  <c:v>13</c:v>
                </c:pt>
                <c:pt idx="1">
                  <c:v>9</c:v>
                </c:pt>
                <c:pt idx="2">
                  <c:v>8</c:v>
                </c:pt>
                <c:pt idx="3">
                  <c:v>10</c:v>
                </c:pt>
                <c:pt idx="4">
                  <c:v>7</c:v>
                </c:pt>
                <c:pt idx="5">
                  <c:v>10</c:v>
                </c:pt>
                <c:pt idx="6">
                  <c:v>5</c:v>
                </c:pt>
                <c:pt idx="7">
                  <c:v>5</c:v>
                </c:pt>
                <c:pt idx="8">
                  <c:v>7</c:v>
                </c:pt>
                <c:pt idx="9">
                  <c:v>8</c:v>
                </c:pt>
                <c:pt idx="10">
                  <c:v>2</c:v>
                </c:pt>
                <c:pt idx="11">
                  <c:v>7</c:v>
                </c:pt>
                <c:pt idx="12">
                  <c:v>7</c:v>
                </c:pt>
                <c:pt idx="13">
                  <c:v>7</c:v>
                </c:pt>
                <c:pt idx="14">
                  <c:v>6</c:v>
                </c:pt>
                <c:pt idx="15">
                  <c:v>13</c:v>
                </c:pt>
                <c:pt idx="16">
                  <c:v>8</c:v>
                </c:pt>
                <c:pt idx="17">
                  <c:v>2</c:v>
                </c:pt>
                <c:pt idx="18">
                  <c:v>6</c:v>
                </c:pt>
                <c:pt idx="19">
                  <c:v>7</c:v>
                </c:pt>
                <c:pt idx="20">
                  <c:v>4</c:v>
                </c:pt>
                <c:pt idx="21">
                  <c:v>1</c:v>
                </c:pt>
                <c:pt idx="22">
                  <c:v>4</c:v>
                </c:pt>
                <c:pt idx="23">
                  <c:v>7</c:v>
                </c:pt>
                <c:pt idx="24">
                  <c:v>4</c:v>
                </c:pt>
              </c:numCache>
            </c:numRef>
          </c:yVal>
        </c:ser>
        <c:axId val="138775936"/>
        <c:axId val="138847360"/>
      </c:scatterChart>
      <c:valAx>
        <c:axId val="138775936"/>
        <c:scaling>
          <c:orientation val="minMax"/>
          <c:max val="2016"/>
          <c:min val="1990"/>
        </c:scaling>
        <c:axPos val="b"/>
        <c:numFmt formatCode="General" sourceLinked="1"/>
        <c:tickLblPos val="nextTo"/>
        <c:crossAx val="138847360"/>
        <c:crosses val="autoZero"/>
        <c:crossBetween val="midCat"/>
      </c:valAx>
      <c:valAx>
        <c:axId val="138847360"/>
        <c:scaling>
          <c:orientation val="minMax"/>
        </c:scaling>
        <c:axPos val="l"/>
        <c:majorGridlines/>
        <c:numFmt formatCode="#,##0" sourceLinked="1"/>
        <c:tickLblPos val="nextTo"/>
        <c:crossAx val="138775936"/>
        <c:crosses val="autoZero"/>
        <c:crossBetween val="midCat"/>
      </c:valAx>
    </c:plotArea>
    <c:plotVisOnly val="1"/>
  </c:chart>
  <c:spPr>
    <a:ln>
      <a:noFill/>
    </a:ln>
  </c:sp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330433645591774"/>
          <c:y val="6.0278826229724053E-2"/>
          <c:w val="0.79727049953896323"/>
          <c:h val="0.80370842049057833"/>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analyza'!$A$262:$A$286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analyza'!$D$262:$D$286</c:f>
              <c:numCache>
                <c:formatCode>#,##0</c:formatCode>
                <c:ptCount val="25"/>
                <c:pt idx="0">
                  <c:v>259</c:v>
                </c:pt>
                <c:pt idx="1">
                  <c:v>255</c:v>
                </c:pt>
                <c:pt idx="2">
                  <c:v>256</c:v>
                </c:pt>
                <c:pt idx="3">
                  <c:v>265</c:v>
                </c:pt>
                <c:pt idx="4">
                  <c:v>268</c:v>
                </c:pt>
                <c:pt idx="5">
                  <c:v>266</c:v>
                </c:pt>
                <c:pt idx="6">
                  <c:v>267</c:v>
                </c:pt>
                <c:pt idx="7">
                  <c:v>273</c:v>
                </c:pt>
                <c:pt idx="8">
                  <c:v>270</c:v>
                </c:pt>
                <c:pt idx="9">
                  <c:v>267</c:v>
                </c:pt>
                <c:pt idx="10">
                  <c:v>271</c:v>
                </c:pt>
                <c:pt idx="11">
                  <c:v>262</c:v>
                </c:pt>
                <c:pt idx="12">
                  <c:v>257</c:v>
                </c:pt>
                <c:pt idx="13">
                  <c:v>247</c:v>
                </c:pt>
                <c:pt idx="14">
                  <c:v>245</c:v>
                </c:pt>
                <c:pt idx="15">
                  <c:v>232</c:v>
                </c:pt>
                <c:pt idx="16">
                  <c:v>231</c:v>
                </c:pt>
                <c:pt idx="17">
                  <c:v>230</c:v>
                </c:pt>
                <c:pt idx="18">
                  <c:v>236</c:v>
                </c:pt>
                <c:pt idx="19">
                  <c:v>243</c:v>
                </c:pt>
                <c:pt idx="20">
                  <c:v>243</c:v>
                </c:pt>
                <c:pt idx="21">
                  <c:v>243</c:v>
                </c:pt>
                <c:pt idx="22">
                  <c:v>246</c:v>
                </c:pt>
                <c:pt idx="23">
                  <c:v>242</c:v>
                </c:pt>
                <c:pt idx="24">
                  <c:v>240</c:v>
                </c:pt>
              </c:numCache>
            </c:numRef>
          </c:yVal>
          <c:smooth val="1"/>
        </c:ser>
        <c:axId val="138863360"/>
        <c:axId val="138864896"/>
      </c:scatterChart>
      <c:valAx>
        <c:axId val="138863360"/>
        <c:scaling>
          <c:orientation val="minMax"/>
          <c:max val="2020"/>
          <c:min val="1990"/>
        </c:scaling>
        <c:axPos val="b"/>
        <c:numFmt formatCode="General" sourceLinked="1"/>
        <c:tickLblPos val="nextTo"/>
        <c:crossAx val="138864896"/>
        <c:crosses val="autoZero"/>
        <c:crossBetween val="midCat"/>
      </c:valAx>
      <c:valAx>
        <c:axId val="138864896"/>
        <c:scaling>
          <c:orientation val="minMax"/>
          <c:min val="200"/>
        </c:scaling>
        <c:axPos val="l"/>
        <c:majorGridlines/>
        <c:numFmt formatCode="#,##0" sourceLinked="1"/>
        <c:tickLblPos val="nextTo"/>
        <c:crossAx val="138863360"/>
        <c:crosses val="autoZero"/>
        <c:crossBetween val="midCat"/>
      </c:valAx>
    </c:plotArea>
    <c:plotVisOnly val="1"/>
  </c:chart>
  <c:spPr>
    <a:ln>
      <a:noFill/>
    </a:ln>
  </c:spPr>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scatterChart>
        <c:scatterStyle val="lineMarker"/>
        <c:ser>
          <c:idx val="0"/>
          <c:order val="0"/>
          <c:marker>
            <c:symbol val="none"/>
          </c:marker>
          <c:xVal>
            <c:numRef>
              <c:f>'ORP - analyza'!$A$262:$A$286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analyza'!$C$262:$C$286</c:f>
              <c:numCache>
                <c:formatCode>#,##0</c:formatCode>
                <c:ptCount val="25"/>
                <c:pt idx="0">
                  <c:v>2</c:v>
                </c:pt>
                <c:pt idx="1">
                  <c:v>1</c:v>
                </c:pt>
                <c:pt idx="2">
                  <c:v>1</c:v>
                </c:pt>
                <c:pt idx="3">
                  <c:v>4</c:v>
                </c:pt>
                <c:pt idx="4">
                  <c:v>3</c:v>
                </c:pt>
                <c:pt idx="5">
                  <c:v>3</c:v>
                </c:pt>
                <c:pt idx="6">
                  <c:v>0</c:v>
                </c:pt>
                <c:pt idx="7">
                  <c:v>4</c:v>
                </c:pt>
                <c:pt idx="8">
                  <c:v>0</c:v>
                </c:pt>
                <c:pt idx="9">
                  <c:v>0</c:v>
                </c:pt>
                <c:pt idx="10">
                  <c:v>3</c:v>
                </c:pt>
                <c:pt idx="11">
                  <c:v>1</c:v>
                </c:pt>
                <c:pt idx="12">
                  <c:v>1</c:v>
                </c:pt>
                <c:pt idx="13">
                  <c:v>1</c:v>
                </c:pt>
                <c:pt idx="14">
                  <c:v>1</c:v>
                </c:pt>
                <c:pt idx="15">
                  <c:v>1</c:v>
                </c:pt>
                <c:pt idx="16">
                  <c:v>2</c:v>
                </c:pt>
                <c:pt idx="17">
                  <c:v>4</c:v>
                </c:pt>
                <c:pt idx="18">
                  <c:v>2</c:v>
                </c:pt>
                <c:pt idx="19">
                  <c:v>1</c:v>
                </c:pt>
                <c:pt idx="20">
                  <c:v>2</c:v>
                </c:pt>
                <c:pt idx="21">
                  <c:v>3</c:v>
                </c:pt>
                <c:pt idx="22">
                  <c:v>1</c:v>
                </c:pt>
                <c:pt idx="23">
                  <c:v>5</c:v>
                </c:pt>
                <c:pt idx="24">
                  <c:v>5</c:v>
                </c:pt>
              </c:numCache>
            </c:numRef>
          </c:yVal>
        </c:ser>
        <c:axId val="138998912"/>
        <c:axId val="139000448"/>
      </c:scatterChart>
      <c:valAx>
        <c:axId val="138998912"/>
        <c:scaling>
          <c:orientation val="minMax"/>
          <c:max val="2016"/>
          <c:min val="1990"/>
        </c:scaling>
        <c:axPos val="b"/>
        <c:numFmt formatCode="General" sourceLinked="1"/>
        <c:tickLblPos val="nextTo"/>
        <c:crossAx val="139000448"/>
        <c:crosses val="autoZero"/>
        <c:crossBetween val="midCat"/>
      </c:valAx>
      <c:valAx>
        <c:axId val="139000448"/>
        <c:scaling>
          <c:orientation val="minMax"/>
        </c:scaling>
        <c:axPos val="l"/>
        <c:majorGridlines/>
        <c:numFmt formatCode="#,##0" sourceLinked="1"/>
        <c:tickLblPos val="nextTo"/>
        <c:crossAx val="138998912"/>
        <c:crosses val="autoZero"/>
        <c:crossBetween val="midCat"/>
      </c:valAx>
    </c:plotArea>
    <c:plotVisOnly val="1"/>
  </c:chart>
  <c:spPr>
    <a:ln>
      <a:noFill/>
    </a:ln>
  </c:spPr>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31325113706639"/>
          <c:y val="6.0278826229724053E-2"/>
          <c:w val="0.79753181147093966"/>
          <c:h val="0.80370842049057833"/>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analyza'!$A$314:$A$338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analyza'!$D$314:$D$338</c:f>
              <c:numCache>
                <c:formatCode>#,##0</c:formatCode>
                <c:ptCount val="25"/>
                <c:pt idx="0">
                  <c:v>905</c:v>
                </c:pt>
                <c:pt idx="1">
                  <c:v>874</c:v>
                </c:pt>
                <c:pt idx="2">
                  <c:v>878</c:v>
                </c:pt>
                <c:pt idx="3">
                  <c:v>864</c:v>
                </c:pt>
                <c:pt idx="4">
                  <c:v>859</c:v>
                </c:pt>
                <c:pt idx="5">
                  <c:v>857</c:v>
                </c:pt>
                <c:pt idx="6">
                  <c:v>851</c:v>
                </c:pt>
                <c:pt idx="7">
                  <c:v>856</c:v>
                </c:pt>
                <c:pt idx="8">
                  <c:v>854</c:v>
                </c:pt>
                <c:pt idx="9">
                  <c:v>846</c:v>
                </c:pt>
                <c:pt idx="10">
                  <c:v>810</c:v>
                </c:pt>
                <c:pt idx="11">
                  <c:v>797</c:v>
                </c:pt>
                <c:pt idx="12">
                  <c:v>789</c:v>
                </c:pt>
                <c:pt idx="13">
                  <c:v>799</c:v>
                </c:pt>
                <c:pt idx="14">
                  <c:v>818</c:v>
                </c:pt>
                <c:pt idx="15">
                  <c:v>875</c:v>
                </c:pt>
                <c:pt idx="16">
                  <c:v>871</c:v>
                </c:pt>
                <c:pt idx="17">
                  <c:v>837</c:v>
                </c:pt>
                <c:pt idx="18">
                  <c:v>826</c:v>
                </c:pt>
                <c:pt idx="19">
                  <c:v>827</c:v>
                </c:pt>
                <c:pt idx="20">
                  <c:v>790</c:v>
                </c:pt>
                <c:pt idx="21">
                  <c:v>772</c:v>
                </c:pt>
                <c:pt idx="22">
                  <c:v>777</c:v>
                </c:pt>
                <c:pt idx="23">
                  <c:v>770</c:v>
                </c:pt>
                <c:pt idx="24">
                  <c:v>780</c:v>
                </c:pt>
              </c:numCache>
            </c:numRef>
          </c:yVal>
          <c:smooth val="1"/>
        </c:ser>
        <c:axId val="139057408"/>
        <c:axId val="139067392"/>
      </c:scatterChart>
      <c:valAx>
        <c:axId val="139057408"/>
        <c:scaling>
          <c:orientation val="minMax"/>
          <c:max val="2020"/>
          <c:min val="1990"/>
        </c:scaling>
        <c:axPos val="b"/>
        <c:numFmt formatCode="General" sourceLinked="1"/>
        <c:tickLblPos val="nextTo"/>
        <c:crossAx val="139067392"/>
        <c:crosses val="autoZero"/>
        <c:crossBetween val="midCat"/>
      </c:valAx>
      <c:valAx>
        <c:axId val="139067392"/>
        <c:scaling>
          <c:orientation val="minMax"/>
        </c:scaling>
        <c:axPos val="l"/>
        <c:majorGridlines/>
        <c:numFmt formatCode="#,##0" sourceLinked="1"/>
        <c:tickLblPos val="nextTo"/>
        <c:crossAx val="139057408"/>
        <c:crosses val="autoZero"/>
        <c:crossBetween val="midCat"/>
      </c:valAx>
    </c:plotArea>
    <c:plotVisOnly val="1"/>
  </c:chart>
  <c:spPr>
    <a:ln>
      <a:noFill/>
    </a:ln>
  </c:spPr>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998067949839604"/>
          <c:y val="6.1680664916885432E-2"/>
          <c:w val="0.80530876348789771"/>
          <c:h val="0.79914348206474195"/>
        </c:manualLayout>
      </c:layout>
      <c:scatterChart>
        <c:scatterStyle val="lineMarker"/>
        <c:ser>
          <c:idx val="0"/>
          <c:order val="0"/>
          <c:marker>
            <c:symbol val="none"/>
          </c:marker>
          <c:xVal>
            <c:numRef>
              <c:f>'ORP - analyza'!$A$314:$A$338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analyza'!$C$314:$C$338</c:f>
              <c:numCache>
                <c:formatCode>#,##0</c:formatCode>
                <c:ptCount val="25"/>
                <c:pt idx="0">
                  <c:v>5</c:v>
                </c:pt>
                <c:pt idx="1">
                  <c:v>10</c:v>
                </c:pt>
                <c:pt idx="2">
                  <c:v>6</c:v>
                </c:pt>
                <c:pt idx="3">
                  <c:v>8</c:v>
                </c:pt>
                <c:pt idx="4">
                  <c:v>8</c:v>
                </c:pt>
                <c:pt idx="5">
                  <c:v>9</c:v>
                </c:pt>
                <c:pt idx="6">
                  <c:v>6</c:v>
                </c:pt>
                <c:pt idx="7">
                  <c:v>0</c:v>
                </c:pt>
                <c:pt idx="8">
                  <c:v>3</c:v>
                </c:pt>
                <c:pt idx="9">
                  <c:v>4</c:v>
                </c:pt>
                <c:pt idx="10">
                  <c:v>0</c:v>
                </c:pt>
                <c:pt idx="11">
                  <c:v>5</c:v>
                </c:pt>
                <c:pt idx="12">
                  <c:v>2</c:v>
                </c:pt>
                <c:pt idx="13">
                  <c:v>1</c:v>
                </c:pt>
                <c:pt idx="14">
                  <c:v>8</c:v>
                </c:pt>
                <c:pt idx="15">
                  <c:v>6</c:v>
                </c:pt>
                <c:pt idx="16">
                  <c:v>7</c:v>
                </c:pt>
                <c:pt idx="17">
                  <c:v>5</c:v>
                </c:pt>
                <c:pt idx="18">
                  <c:v>8</c:v>
                </c:pt>
                <c:pt idx="19">
                  <c:v>4</c:v>
                </c:pt>
                <c:pt idx="20">
                  <c:v>9</c:v>
                </c:pt>
                <c:pt idx="21">
                  <c:v>3</c:v>
                </c:pt>
                <c:pt idx="22">
                  <c:v>7</c:v>
                </c:pt>
                <c:pt idx="23">
                  <c:v>7</c:v>
                </c:pt>
                <c:pt idx="24">
                  <c:v>9</c:v>
                </c:pt>
              </c:numCache>
            </c:numRef>
          </c:yVal>
        </c:ser>
        <c:axId val="139086464"/>
        <c:axId val="139112832"/>
      </c:scatterChart>
      <c:valAx>
        <c:axId val="139086464"/>
        <c:scaling>
          <c:orientation val="minMax"/>
          <c:max val="2016"/>
          <c:min val="1990"/>
        </c:scaling>
        <c:axPos val="b"/>
        <c:numFmt formatCode="General" sourceLinked="1"/>
        <c:tickLblPos val="nextTo"/>
        <c:crossAx val="139112832"/>
        <c:crosses val="autoZero"/>
        <c:crossBetween val="midCat"/>
      </c:valAx>
      <c:valAx>
        <c:axId val="139112832"/>
        <c:scaling>
          <c:orientation val="minMax"/>
        </c:scaling>
        <c:axPos val="l"/>
        <c:majorGridlines/>
        <c:numFmt formatCode="#,##0" sourceLinked="1"/>
        <c:tickLblPos val="nextTo"/>
        <c:crossAx val="139086464"/>
        <c:crosses val="autoZero"/>
        <c:crossBetween val="midCat"/>
      </c:valAx>
    </c:plotArea>
    <c:plotVisOnly val="1"/>
  </c:chart>
  <c:spPr>
    <a:ln>
      <a:noFill/>
    </a:ln>
  </c:spPr>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8441977555678227"/>
          <c:y val="6.1968904356967482E-2"/>
          <c:w val="0.74698462602288374"/>
          <c:h val="0.79820486101802479"/>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analyza'!$A$415:$A$439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analyza'!$D$415:$D$439</c:f>
              <c:numCache>
                <c:formatCode>#,##0</c:formatCode>
                <c:ptCount val="25"/>
                <c:pt idx="0">
                  <c:v>21634</c:v>
                </c:pt>
                <c:pt idx="1">
                  <c:v>21678</c:v>
                </c:pt>
                <c:pt idx="2">
                  <c:v>21762</c:v>
                </c:pt>
                <c:pt idx="3">
                  <c:v>21893</c:v>
                </c:pt>
                <c:pt idx="4">
                  <c:v>21863</c:v>
                </c:pt>
                <c:pt idx="5">
                  <c:v>21861</c:v>
                </c:pt>
                <c:pt idx="6">
                  <c:v>21741</c:v>
                </c:pt>
                <c:pt idx="7">
                  <c:v>21695</c:v>
                </c:pt>
                <c:pt idx="8">
                  <c:v>21552</c:v>
                </c:pt>
                <c:pt idx="9">
                  <c:v>21455</c:v>
                </c:pt>
                <c:pt idx="10">
                  <c:v>21309</c:v>
                </c:pt>
                <c:pt idx="11">
                  <c:v>21321</c:v>
                </c:pt>
                <c:pt idx="12">
                  <c:v>21280</c:v>
                </c:pt>
                <c:pt idx="13">
                  <c:v>21109</c:v>
                </c:pt>
                <c:pt idx="14">
                  <c:v>21142</c:v>
                </c:pt>
                <c:pt idx="15">
                  <c:v>21373</c:v>
                </c:pt>
                <c:pt idx="16">
                  <c:v>21444</c:v>
                </c:pt>
                <c:pt idx="17">
                  <c:v>21646</c:v>
                </c:pt>
                <c:pt idx="18">
                  <c:v>21425</c:v>
                </c:pt>
                <c:pt idx="19">
                  <c:v>21295</c:v>
                </c:pt>
                <c:pt idx="20">
                  <c:v>20604</c:v>
                </c:pt>
                <c:pt idx="21">
                  <c:v>20470</c:v>
                </c:pt>
                <c:pt idx="22">
                  <c:v>20349</c:v>
                </c:pt>
                <c:pt idx="23">
                  <c:v>20335</c:v>
                </c:pt>
                <c:pt idx="24">
                  <c:v>20341</c:v>
                </c:pt>
              </c:numCache>
            </c:numRef>
          </c:yVal>
          <c:smooth val="1"/>
        </c:ser>
        <c:axId val="139354112"/>
        <c:axId val="139355648"/>
      </c:scatterChart>
      <c:valAx>
        <c:axId val="139354112"/>
        <c:scaling>
          <c:orientation val="minMax"/>
          <c:max val="2020"/>
          <c:min val="1990"/>
        </c:scaling>
        <c:axPos val="b"/>
        <c:numFmt formatCode="General" sourceLinked="1"/>
        <c:tickLblPos val="nextTo"/>
        <c:crossAx val="139355648"/>
        <c:crosses val="autoZero"/>
        <c:crossBetween val="midCat"/>
      </c:valAx>
      <c:valAx>
        <c:axId val="139355648"/>
        <c:scaling>
          <c:orientation val="minMax"/>
        </c:scaling>
        <c:axPos val="l"/>
        <c:majorGridlines/>
        <c:numFmt formatCode="#,##0" sourceLinked="1"/>
        <c:tickLblPos val="nextTo"/>
        <c:crossAx val="139354112"/>
        <c:crosses val="autoZero"/>
        <c:crossBetween val="midCat"/>
      </c:valAx>
    </c:plotArea>
    <c:plotVisOnly val="1"/>
  </c:chart>
  <c:spPr>
    <a:ln>
      <a:noFill/>
    </a:ln>
  </c:spPr>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966357517741873"/>
          <c:y val="6.1968904356967482E-2"/>
          <c:w val="0.78759935662195291"/>
          <c:h val="0.79820486101802479"/>
        </c:manualLayout>
      </c:layout>
      <c:scatterChart>
        <c:scatterStyle val="lineMarker"/>
        <c:ser>
          <c:idx val="0"/>
          <c:order val="0"/>
          <c:marker>
            <c:symbol val="none"/>
          </c:marker>
          <c:xVal>
            <c:numRef>
              <c:f>'ORP - analyza'!$A$415:$A$439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analyza'!$C$415:$C$439</c:f>
              <c:numCache>
                <c:formatCode>#,##0</c:formatCode>
                <c:ptCount val="25"/>
                <c:pt idx="0">
                  <c:v>277</c:v>
                </c:pt>
                <c:pt idx="1">
                  <c:v>285</c:v>
                </c:pt>
                <c:pt idx="2">
                  <c:v>277</c:v>
                </c:pt>
                <c:pt idx="3">
                  <c:v>238</c:v>
                </c:pt>
                <c:pt idx="4">
                  <c:v>227</c:v>
                </c:pt>
                <c:pt idx="5">
                  <c:v>203</c:v>
                </c:pt>
                <c:pt idx="6">
                  <c:v>180</c:v>
                </c:pt>
                <c:pt idx="7">
                  <c:v>208</c:v>
                </c:pt>
                <c:pt idx="8">
                  <c:v>190</c:v>
                </c:pt>
                <c:pt idx="9">
                  <c:v>179</c:v>
                </c:pt>
                <c:pt idx="10">
                  <c:v>194</c:v>
                </c:pt>
                <c:pt idx="11">
                  <c:v>182</c:v>
                </c:pt>
                <c:pt idx="12">
                  <c:v>199</c:v>
                </c:pt>
                <c:pt idx="13">
                  <c:v>200</c:v>
                </c:pt>
                <c:pt idx="14">
                  <c:v>200</c:v>
                </c:pt>
                <c:pt idx="15">
                  <c:v>212</c:v>
                </c:pt>
                <c:pt idx="16">
                  <c:v>238</c:v>
                </c:pt>
                <c:pt idx="17">
                  <c:v>248</c:v>
                </c:pt>
                <c:pt idx="18">
                  <c:v>219</c:v>
                </c:pt>
                <c:pt idx="19">
                  <c:v>221</c:v>
                </c:pt>
                <c:pt idx="20">
                  <c:v>220</c:v>
                </c:pt>
                <c:pt idx="21">
                  <c:v>206</c:v>
                </c:pt>
                <c:pt idx="22">
                  <c:v>183</c:v>
                </c:pt>
                <c:pt idx="23">
                  <c:v>197</c:v>
                </c:pt>
                <c:pt idx="24">
                  <c:v>220</c:v>
                </c:pt>
              </c:numCache>
            </c:numRef>
          </c:yVal>
        </c:ser>
        <c:axId val="139395456"/>
        <c:axId val="139396992"/>
      </c:scatterChart>
      <c:valAx>
        <c:axId val="139395456"/>
        <c:scaling>
          <c:orientation val="minMax"/>
          <c:max val="2016"/>
          <c:min val="1990"/>
        </c:scaling>
        <c:axPos val="b"/>
        <c:numFmt formatCode="General" sourceLinked="1"/>
        <c:tickLblPos val="nextTo"/>
        <c:crossAx val="139396992"/>
        <c:crosses val="autoZero"/>
        <c:crossBetween val="midCat"/>
      </c:valAx>
      <c:valAx>
        <c:axId val="139396992"/>
        <c:scaling>
          <c:orientation val="minMax"/>
          <c:max val="300"/>
          <c:min val="150"/>
        </c:scaling>
        <c:axPos val="l"/>
        <c:majorGridlines/>
        <c:numFmt formatCode="#,##0" sourceLinked="1"/>
        <c:tickLblPos val="nextTo"/>
        <c:crossAx val="139395456"/>
        <c:crosses val="autoZero"/>
        <c:crossBetween val="midCat"/>
      </c:valAx>
    </c:plotArea>
    <c:plotVisOnly val="1"/>
  </c:chart>
  <c:spPr>
    <a:ln>
      <a:noFill/>
    </a:ln>
  </c:spPr>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409727982073125"/>
          <c:y val="6.6306734364412007E-2"/>
          <c:w val="0.7960645896899935"/>
          <c:h val="0.78407917946344974"/>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analyza'!$A$649:$A$673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analyza'!$D$649:$D$673</c:f>
              <c:numCache>
                <c:formatCode>#,##0</c:formatCode>
                <c:ptCount val="25"/>
                <c:pt idx="0">
                  <c:v>182</c:v>
                </c:pt>
                <c:pt idx="1">
                  <c:v>180</c:v>
                </c:pt>
                <c:pt idx="2">
                  <c:v>180</c:v>
                </c:pt>
                <c:pt idx="3">
                  <c:v>177</c:v>
                </c:pt>
                <c:pt idx="4">
                  <c:v>181</c:v>
                </c:pt>
                <c:pt idx="5">
                  <c:v>182</c:v>
                </c:pt>
                <c:pt idx="6">
                  <c:v>182</c:v>
                </c:pt>
                <c:pt idx="7">
                  <c:v>174</c:v>
                </c:pt>
                <c:pt idx="8">
                  <c:v>177</c:v>
                </c:pt>
                <c:pt idx="9">
                  <c:v>169</c:v>
                </c:pt>
                <c:pt idx="10">
                  <c:v>169</c:v>
                </c:pt>
                <c:pt idx="11">
                  <c:v>170</c:v>
                </c:pt>
                <c:pt idx="12">
                  <c:v>170</c:v>
                </c:pt>
                <c:pt idx="13">
                  <c:v>175</c:v>
                </c:pt>
                <c:pt idx="14">
                  <c:v>169</c:v>
                </c:pt>
                <c:pt idx="15">
                  <c:v>162</c:v>
                </c:pt>
                <c:pt idx="16">
                  <c:v>158</c:v>
                </c:pt>
                <c:pt idx="17">
                  <c:v>154</c:v>
                </c:pt>
                <c:pt idx="18">
                  <c:v>150</c:v>
                </c:pt>
                <c:pt idx="19">
                  <c:v>147</c:v>
                </c:pt>
                <c:pt idx="20">
                  <c:v>141</c:v>
                </c:pt>
                <c:pt idx="21">
                  <c:v>148</c:v>
                </c:pt>
                <c:pt idx="22">
                  <c:v>145</c:v>
                </c:pt>
                <c:pt idx="23">
                  <c:v>140</c:v>
                </c:pt>
                <c:pt idx="24">
                  <c:v>143</c:v>
                </c:pt>
              </c:numCache>
            </c:numRef>
          </c:yVal>
          <c:smooth val="1"/>
        </c:ser>
        <c:axId val="139531776"/>
        <c:axId val="139533312"/>
      </c:scatterChart>
      <c:valAx>
        <c:axId val="139531776"/>
        <c:scaling>
          <c:orientation val="minMax"/>
          <c:max val="2020"/>
          <c:min val="1990"/>
        </c:scaling>
        <c:axPos val="b"/>
        <c:numFmt formatCode="General" sourceLinked="1"/>
        <c:tickLblPos val="nextTo"/>
        <c:crossAx val="139533312"/>
        <c:crosses val="autoZero"/>
        <c:crossBetween val="midCat"/>
      </c:valAx>
      <c:valAx>
        <c:axId val="139533312"/>
        <c:scaling>
          <c:orientation val="minMax"/>
          <c:min val="100"/>
        </c:scaling>
        <c:axPos val="l"/>
        <c:majorGridlines/>
        <c:numFmt formatCode="#,##0" sourceLinked="1"/>
        <c:tickLblPos val="nextTo"/>
        <c:crossAx val="139531776"/>
        <c:crosses val="autoZero"/>
        <c:crossBetween val="midCat"/>
      </c:valAx>
    </c:plotArea>
    <c:plotVisOnly val="1"/>
  </c:chart>
  <c:spPr>
    <a:ln>
      <a:noFill/>
    </a:ln>
  </c:spPr>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scatterChart>
        <c:scatterStyle val="lineMarker"/>
        <c:ser>
          <c:idx val="0"/>
          <c:order val="0"/>
          <c:marker>
            <c:symbol val="none"/>
          </c:marker>
          <c:xVal>
            <c:numRef>
              <c:f>'ORP - analyza'!$A$649:$A$673</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analyza'!$C$649:$C$673</c:f>
              <c:numCache>
                <c:formatCode>#,##0</c:formatCode>
                <c:ptCount val="25"/>
                <c:pt idx="0">
                  <c:v>0</c:v>
                </c:pt>
                <c:pt idx="1">
                  <c:v>1</c:v>
                </c:pt>
                <c:pt idx="2">
                  <c:v>0</c:v>
                </c:pt>
                <c:pt idx="3">
                  <c:v>4</c:v>
                </c:pt>
                <c:pt idx="4">
                  <c:v>1</c:v>
                </c:pt>
                <c:pt idx="5">
                  <c:v>3</c:v>
                </c:pt>
                <c:pt idx="6">
                  <c:v>2</c:v>
                </c:pt>
                <c:pt idx="7">
                  <c:v>0</c:v>
                </c:pt>
                <c:pt idx="8">
                  <c:v>1</c:v>
                </c:pt>
                <c:pt idx="9">
                  <c:v>1</c:v>
                </c:pt>
                <c:pt idx="10">
                  <c:v>2</c:v>
                </c:pt>
                <c:pt idx="11">
                  <c:v>2</c:v>
                </c:pt>
                <c:pt idx="12">
                  <c:v>2</c:v>
                </c:pt>
                <c:pt idx="13">
                  <c:v>1</c:v>
                </c:pt>
                <c:pt idx="14">
                  <c:v>2</c:v>
                </c:pt>
                <c:pt idx="15">
                  <c:v>2</c:v>
                </c:pt>
                <c:pt idx="16">
                  <c:v>1</c:v>
                </c:pt>
                <c:pt idx="17">
                  <c:v>0</c:v>
                </c:pt>
                <c:pt idx="18">
                  <c:v>3</c:v>
                </c:pt>
                <c:pt idx="19">
                  <c:v>1</c:v>
                </c:pt>
                <c:pt idx="20">
                  <c:v>1</c:v>
                </c:pt>
                <c:pt idx="21">
                  <c:v>2</c:v>
                </c:pt>
                <c:pt idx="22">
                  <c:v>2</c:v>
                </c:pt>
                <c:pt idx="23">
                  <c:v>0</c:v>
                </c:pt>
                <c:pt idx="24">
                  <c:v>0</c:v>
                </c:pt>
              </c:numCache>
            </c:numRef>
          </c:yVal>
        </c:ser>
        <c:axId val="139601408"/>
        <c:axId val="139602944"/>
      </c:scatterChart>
      <c:valAx>
        <c:axId val="139601408"/>
        <c:scaling>
          <c:orientation val="minMax"/>
          <c:max val="2016"/>
          <c:min val="1990"/>
        </c:scaling>
        <c:axPos val="b"/>
        <c:numFmt formatCode="General" sourceLinked="1"/>
        <c:tickLblPos val="nextTo"/>
        <c:crossAx val="139602944"/>
        <c:crosses val="autoZero"/>
        <c:crossBetween val="midCat"/>
      </c:valAx>
      <c:valAx>
        <c:axId val="139602944"/>
        <c:scaling>
          <c:orientation val="minMax"/>
          <c:max val="5"/>
          <c:min val="0"/>
        </c:scaling>
        <c:axPos val="l"/>
        <c:majorGridlines/>
        <c:numFmt formatCode="#,##0" sourceLinked="1"/>
        <c:tickLblPos val="nextTo"/>
        <c:crossAx val="139601408"/>
        <c:crosses val="autoZero"/>
        <c:crossBetween val="midCat"/>
        <c:majorUnit val="1"/>
        <c:minorUnit val="1"/>
      </c:valAx>
    </c:plotArea>
    <c:plotVisOnly val="1"/>
  </c:chart>
  <c:spPr>
    <a:ln>
      <a:noFill/>
    </a:ln>
  </c:spPr>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557084482698628"/>
          <c:y val="6.0831839882514296E-2"/>
          <c:w val="0.79382358909273376"/>
          <c:h val="0.80190759041165749"/>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analyza'!$A$675:$A$699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analyza'!$D$675:$D$699</c:f>
              <c:numCache>
                <c:formatCode>#,##0</c:formatCode>
                <c:ptCount val="25"/>
                <c:pt idx="0">
                  <c:v>317</c:v>
                </c:pt>
                <c:pt idx="1">
                  <c:v>320</c:v>
                </c:pt>
                <c:pt idx="2">
                  <c:v>318</c:v>
                </c:pt>
                <c:pt idx="3">
                  <c:v>311</c:v>
                </c:pt>
                <c:pt idx="4">
                  <c:v>307</c:v>
                </c:pt>
                <c:pt idx="5">
                  <c:v>309</c:v>
                </c:pt>
                <c:pt idx="6">
                  <c:v>300</c:v>
                </c:pt>
                <c:pt idx="7">
                  <c:v>307</c:v>
                </c:pt>
                <c:pt idx="8">
                  <c:v>312</c:v>
                </c:pt>
                <c:pt idx="9">
                  <c:v>301</c:v>
                </c:pt>
                <c:pt idx="10">
                  <c:v>305</c:v>
                </c:pt>
                <c:pt idx="11">
                  <c:v>299</c:v>
                </c:pt>
                <c:pt idx="12">
                  <c:v>301</c:v>
                </c:pt>
                <c:pt idx="13">
                  <c:v>304</c:v>
                </c:pt>
                <c:pt idx="14">
                  <c:v>304</c:v>
                </c:pt>
                <c:pt idx="15">
                  <c:v>303</c:v>
                </c:pt>
                <c:pt idx="16">
                  <c:v>303</c:v>
                </c:pt>
                <c:pt idx="17">
                  <c:v>301</c:v>
                </c:pt>
                <c:pt idx="18">
                  <c:v>302</c:v>
                </c:pt>
                <c:pt idx="19">
                  <c:v>300</c:v>
                </c:pt>
                <c:pt idx="20">
                  <c:v>305</c:v>
                </c:pt>
                <c:pt idx="21">
                  <c:v>305</c:v>
                </c:pt>
                <c:pt idx="22">
                  <c:v>298</c:v>
                </c:pt>
                <c:pt idx="23">
                  <c:v>291</c:v>
                </c:pt>
                <c:pt idx="24">
                  <c:v>291</c:v>
                </c:pt>
              </c:numCache>
            </c:numRef>
          </c:yVal>
          <c:smooth val="1"/>
        </c:ser>
        <c:axId val="139647616"/>
        <c:axId val="139673984"/>
      </c:scatterChart>
      <c:valAx>
        <c:axId val="139647616"/>
        <c:scaling>
          <c:orientation val="minMax"/>
          <c:max val="2020"/>
          <c:min val="1990"/>
        </c:scaling>
        <c:axPos val="b"/>
        <c:numFmt formatCode="General" sourceLinked="1"/>
        <c:tickLblPos val="nextTo"/>
        <c:crossAx val="139673984"/>
        <c:crosses val="autoZero"/>
        <c:crossBetween val="midCat"/>
      </c:valAx>
      <c:valAx>
        <c:axId val="139673984"/>
        <c:scaling>
          <c:orientation val="minMax"/>
        </c:scaling>
        <c:axPos val="l"/>
        <c:majorGridlines/>
        <c:numFmt formatCode="#,##0" sourceLinked="1"/>
        <c:tickLblPos val="nextTo"/>
        <c:crossAx val="139647616"/>
        <c:crosses val="autoZero"/>
        <c:crossBetween val="midCat"/>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458488061029691"/>
          <c:y val="6.2553485799007408E-2"/>
          <c:w val="0.79532304543778731"/>
          <c:h val="0.79630123379455164"/>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analyza'!$A$158:$A$182</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analyza'!$D$158:$D$182</c:f>
              <c:numCache>
                <c:formatCode>#,##0</c:formatCode>
                <c:ptCount val="25"/>
                <c:pt idx="0">
                  <c:v>586</c:v>
                </c:pt>
                <c:pt idx="1">
                  <c:v>568</c:v>
                </c:pt>
                <c:pt idx="2">
                  <c:v>565</c:v>
                </c:pt>
                <c:pt idx="3">
                  <c:v>552</c:v>
                </c:pt>
                <c:pt idx="4">
                  <c:v>545</c:v>
                </c:pt>
                <c:pt idx="5">
                  <c:v>494</c:v>
                </c:pt>
                <c:pt idx="6">
                  <c:v>486</c:v>
                </c:pt>
                <c:pt idx="7">
                  <c:v>487</c:v>
                </c:pt>
                <c:pt idx="8">
                  <c:v>478</c:v>
                </c:pt>
                <c:pt idx="9">
                  <c:v>464</c:v>
                </c:pt>
                <c:pt idx="10">
                  <c:v>459</c:v>
                </c:pt>
                <c:pt idx="11">
                  <c:v>452</c:v>
                </c:pt>
                <c:pt idx="12">
                  <c:v>455</c:v>
                </c:pt>
                <c:pt idx="13">
                  <c:v>451</c:v>
                </c:pt>
                <c:pt idx="14">
                  <c:v>441</c:v>
                </c:pt>
                <c:pt idx="15">
                  <c:v>434</c:v>
                </c:pt>
                <c:pt idx="16">
                  <c:v>439</c:v>
                </c:pt>
                <c:pt idx="17">
                  <c:v>436</c:v>
                </c:pt>
                <c:pt idx="18">
                  <c:v>438</c:v>
                </c:pt>
                <c:pt idx="19">
                  <c:v>432</c:v>
                </c:pt>
                <c:pt idx="20">
                  <c:v>418</c:v>
                </c:pt>
                <c:pt idx="21">
                  <c:v>421</c:v>
                </c:pt>
                <c:pt idx="22">
                  <c:v>418</c:v>
                </c:pt>
                <c:pt idx="23">
                  <c:v>426</c:v>
                </c:pt>
                <c:pt idx="24">
                  <c:v>437</c:v>
                </c:pt>
              </c:numCache>
            </c:numRef>
          </c:yVal>
          <c:smooth val="1"/>
        </c:ser>
        <c:axId val="124471168"/>
        <c:axId val="124503168"/>
      </c:scatterChart>
      <c:valAx>
        <c:axId val="124471168"/>
        <c:scaling>
          <c:orientation val="minMax"/>
          <c:max val="2020"/>
          <c:min val="1990"/>
        </c:scaling>
        <c:axPos val="b"/>
        <c:numFmt formatCode="General" sourceLinked="1"/>
        <c:tickLblPos val="nextTo"/>
        <c:crossAx val="124503168"/>
        <c:crosses val="autoZero"/>
        <c:crossBetween val="midCat"/>
      </c:valAx>
      <c:valAx>
        <c:axId val="124503168"/>
        <c:scaling>
          <c:orientation val="minMax"/>
          <c:min val="400"/>
        </c:scaling>
        <c:axPos val="l"/>
        <c:majorGridlines/>
        <c:numFmt formatCode="#,##0" sourceLinked="1"/>
        <c:tickLblPos val="nextTo"/>
        <c:crossAx val="124471168"/>
        <c:crosses val="autoZero"/>
        <c:crossBetween val="midCat"/>
      </c:valAx>
    </c:plotArea>
    <c:plotVisOnly val="1"/>
  </c:chart>
  <c:spPr>
    <a:ln>
      <a:noFill/>
    </a:ln>
  </c:spPr>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5634621495720065E-2"/>
          <c:y val="6.0831839882514296E-2"/>
          <c:w val="0.83135280563278324"/>
          <c:h val="0.80190759041165749"/>
        </c:manualLayout>
      </c:layout>
      <c:scatterChart>
        <c:scatterStyle val="lineMarker"/>
        <c:ser>
          <c:idx val="0"/>
          <c:order val="0"/>
          <c:marker>
            <c:symbol val="none"/>
          </c:marker>
          <c:xVal>
            <c:numRef>
              <c:f>'ORP - analyza'!$A$675:$A$699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analyza'!$C$675:$C$699</c:f>
              <c:numCache>
                <c:formatCode>#,##0</c:formatCode>
                <c:ptCount val="25"/>
                <c:pt idx="0">
                  <c:v>3</c:v>
                </c:pt>
                <c:pt idx="1">
                  <c:v>7</c:v>
                </c:pt>
                <c:pt idx="2">
                  <c:v>4</c:v>
                </c:pt>
                <c:pt idx="3">
                  <c:v>2</c:v>
                </c:pt>
                <c:pt idx="4">
                  <c:v>1</c:v>
                </c:pt>
                <c:pt idx="5">
                  <c:v>6</c:v>
                </c:pt>
                <c:pt idx="6">
                  <c:v>4</c:v>
                </c:pt>
                <c:pt idx="7">
                  <c:v>3</c:v>
                </c:pt>
                <c:pt idx="8">
                  <c:v>1</c:v>
                </c:pt>
                <c:pt idx="9">
                  <c:v>1</c:v>
                </c:pt>
                <c:pt idx="10">
                  <c:v>4</c:v>
                </c:pt>
                <c:pt idx="11">
                  <c:v>0</c:v>
                </c:pt>
                <c:pt idx="12">
                  <c:v>3</c:v>
                </c:pt>
                <c:pt idx="13">
                  <c:v>2</c:v>
                </c:pt>
                <c:pt idx="14">
                  <c:v>1</c:v>
                </c:pt>
                <c:pt idx="15">
                  <c:v>2</c:v>
                </c:pt>
                <c:pt idx="16">
                  <c:v>5</c:v>
                </c:pt>
                <c:pt idx="17">
                  <c:v>0</c:v>
                </c:pt>
                <c:pt idx="18">
                  <c:v>3</c:v>
                </c:pt>
                <c:pt idx="19">
                  <c:v>1</c:v>
                </c:pt>
                <c:pt idx="20">
                  <c:v>4</c:v>
                </c:pt>
                <c:pt idx="21">
                  <c:v>3</c:v>
                </c:pt>
                <c:pt idx="22">
                  <c:v>2</c:v>
                </c:pt>
                <c:pt idx="23">
                  <c:v>4</c:v>
                </c:pt>
                <c:pt idx="24">
                  <c:v>3</c:v>
                </c:pt>
              </c:numCache>
            </c:numRef>
          </c:yVal>
        </c:ser>
        <c:axId val="139693056"/>
        <c:axId val="139727616"/>
      </c:scatterChart>
      <c:valAx>
        <c:axId val="139693056"/>
        <c:scaling>
          <c:orientation val="minMax"/>
          <c:max val="2016"/>
          <c:min val="1990"/>
        </c:scaling>
        <c:axPos val="b"/>
        <c:numFmt formatCode="General" sourceLinked="1"/>
        <c:tickLblPos val="nextTo"/>
        <c:crossAx val="139727616"/>
        <c:crosses val="autoZero"/>
        <c:crossBetween val="midCat"/>
      </c:valAx>
      <c:valAx>
        <c:axId val="139727616"/>
        <c:scaling>
          <c:orientation val="minMax"/>
        </c:scaling>
        <c:axPos val="l"/>
        <c:majorGridlines/>
        <c:numFmt formatCode="#,##0" sourceLinked="1"/>
        <c:tickLblPos val="nextTo"/>
        <c:crossAx val="139693056"/>
        <c:crosses val="autoZero"/>
        <c:crossBetween val="midCat"/>
      </c:valAx>
    </c:plotArea>
    <c:plotVisOnly val="1"/>
  </c:chart>
  <c:spPr>
    <a:ln>
      <a:noFill/>
    </a:ln>
  </c:spPr>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409727982073125"/>
          <c:y val="6.731646021653645E-2"/>
          <c:w val="0.7960645896899935"/>
          <c:h val="0.78079111473522089"/>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analyza'!$A$777:$A$801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analyza'!$D$777:$D$801</c:f>
              <c:numCache>
                <c:formatCode>#,##0</c:formatCode>
                <c:ptCount val="25"/>
                <c:pt idx="0">
                  <c:v>617</c:v>
                </c:pt>
                <c:pt idx="1">
                  <c:v>615</c:v>
                </c:pt>
                <c:pt idx="2">
                  <c:v>611</c:v>
                </c:pt>
                <c:pt idx="3">
                  <c:v>585</c:v>
                </c:pt>
                <c:pt idx="4">
                  <c:v>584</c:v>
                </c:pt>
                <c:pt idx="5">
                  <c:v>628</c:v>
                </c:pt>
                <c:pt idx="6">
                  <c:v>603</c:v>
                </c:pt>
                <c:pt idx="7">
                  <c:v>596</c:v>
                </c:pt>
                <c:pt idx="8">
                  <c:v>579</c:v>
                </c:pt>
                <c:pt idx="9">
                  <c:v>572</c:v>
                </c:pt>
                <c:pt idx="10">
                  <c:v>583</c:v>
                </c:pt>
                <c:pt idx="11">
                  <c:v>593</c:v>
                </c:pt>
                <c:pt idx="12">
                  <c:v>595</c:v>
                </c:pt>
                <c:pt idx="13">
                  <c:v>589</c:v>
                </c:pt>
                <c:pt idx="14">
                  <c:v>572</c:v>
                </c:pt>
                <c:pt idx="15">
                  <c:v>575</c:v>
                </c:pt>
                <c:pt idx="16">
                  <c:v>548</c:v>
                </c:pt>
                <c:pt idx="17">
                  <c:v>564</c:v>
                </c:pt>
                <c:pt idx="18">
                  <c:v>556</c:v>
                </c:pt>
                <c:pt idx="19">
                  <c:v>554</c:v>
                </c:pt>
                <c:pt idx="20">
                  <c:v>523</c:v>
                </c:pt>
                <c:pt idx="21">
                  <c:v>525</c:v>
                </c:pt>
                <c:pt idx="22">
                  <c:v>527</c:v>
                </c:pt>
                <c:pt idx="23">
                  <c:v>531</c:v>
                </c:pt>
                <c:pt idx="24">
                  <c:v>537</c:v>
                </c:pt>
              </c:numCache>
            </c:numRef>
          </c:yVal>
          <c:smooth val="1"/>
        </c:ser>
        <c:axId val="139809152"/>
        <c:axId val="139810688"/>
      </c:scatterChart>
      <c:valAx>
        <c:axId val="139809152"/>
        <c:scaling>
          <c:orientation val="minMax"/>
          <c:max val="2020"/>
          <c:min val="1990"/>
        </c:scaling>
        <c:axPos val="b"/>
        <c:numFmt formatCode="General" sourceLinked="1"/>
        <c:tickLblPos val="nextTo"/>
        <c:crossAx val="139810688"/>
        <c:crosses val="autoZero"/>
        <c:crossBetween val="midCat"/>
      </c:valAx>
      <c:valAx>
        <c:axId val="139810688"/>
        <c:scaling>
          <c:orientation val="minMax"/>
          <c:min val="400"/>
        </c:scaling>
        <c:axPos val="l"/>
        <c:majorGridlines/>
        <c:numFmt formatCode="#,##0" sourceLinked="1"/>
        <c:tickLblPos val="nextTo"/>
        <c:crossAx val="139809152"/>
        <c:crosses val="autoZero"/>
        <c:crossBetween val="midCat"/>
      </c:valAx>
    </c:plotArea>
    <c:plotVisOnly val="1"/>
  </c:chart>
  <c:spPr>
    <a:ln>
      <a:noFill/>
    </a:ln>
  </c:spPr>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681137467401655"/>
          <c:y val="6.2553485799007408E-2"/>
          <c:w val="0.8104515571253551"/>
          <c:h val="0.79630123379455164"/>
        </c:manualLayout>
      </c:layout>
      <c:scatterChart>
        <c:scatterStyle val="lineMarker"/>
        <c:ser>
          <c:idx val="0"/>
          <c:order val="0"/>
          <c:marker>
            <c:symbol val="none"/>
          </c:marker>
          <c:xVal>
            <c:numRef>
              <c:f>'ORP - analyza'!$A$777:$A$801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analyza'!$C$777:$C$801</c:f>
              <c:numCache>
                <c:formatCode>#,##0</c:formatCode>
                <c:ptCount val="25"/>
                <c:pt idx="0">
                  <c:v>7</c:v>
                </c:pt>
                <c:pt idx="1">
                  <c:v>11</c:v>
                </c:pt>
                <c:pt idx="2">
                  <c:v>8</c:v>
                </c:pt>
                <c:pt idx="3">
                  <c:v>5</c:v>
                </c:pt>
                <c:pt idx="4">
                  <c:v>6</c:v>
                </c:pt>
                <c:pt idx="5">
                  <c:v>4</c:v>
                </c:pt>
                <c:pt idx="6">
                  <c:v>0</c:v>
                </c:pt>
                <c:pt idx="7">
                  <c:v>3</c:v>
                </c:pt>
                <c:pt idx="8">
                  <c:v>1</c:v>
                </c:pt>
                <c:pt idx="9">
                  <c:v>4</c:v>
                </c:pt>
                <c:pt idx="10">
                  <c:v>6</c:v>
                </c:pt>
                <c:pt idx="11">
                  <c:v>7</c:v>
                </c:pt>
                <c:pt idx="12">
                  <c:v>4</c:v>
                </c:pt>
                <c:pt idx="13">
                  <c:v>3</c:v>
                </c:pt>
                <c:pt idx="14">
                  <c:v>3</c:v>
                </c:pt>
                <c:pt idx="15">
                  <c:v>2</c:v>
                </c:pt>
                <c:pt idx="16">
                  <c:v>4</c:v>
                </c:pt>
                <c:pt idx="17">
                  <c:v>6</c:v>
                </c:pt>
                <c:pt idx="18">
                  <c:v>2</c:v>
                </c:pt>
                <c:pt idx="19">
                  <c:v>5</c:v>
                </c:pt>
                <c:pt idx="20">
                  <c:v>5</c:v>
                </c:pt>
                <c:pt idx="21">
                  <c:v>7</c:v>
                </c:pt>
                <c:pt idx="22">
                  <c:v>4</c:v>
                </c:pt>
                <c:pt idx="23">
                  <c:v>4</c:v>
                </c:pt>
                <c:pt idx="24">
                  <c:v>5</c:v>
                </c:pt>
              </c:numCache>
            </c:numRef>
          </c:yVal>
        </c:ser>
        <c:axId val="139858688"/>
        <c:axId val="139860224"/>
      </c:scatterChart>
      <c:valAx>
        <c:axId val="139858688"/>
        <c:scaling>
          <c:orientation val="minMax"/>
          <c:max val="2016"/>
          <c:min val="1990"/>
        </c:scaling>
        <c:axPos val="b"/>
        <c:numFmt formatCode="General" sourceLinked="1"/>
        <c:tickLblPos val="nextTo"/>
        <c:crossAx val="139860224"/>
        <c:crosses val="autoZero"/>
        <c:crossBetween val="midCat"/>
      </c:valAx>
      <c:valAx>
        <c:axId val="139860224"/>
        <c:scaling>
          <c:orientation val="minMax"/>
        </c:scaling>
        <c:axPos val="l"/>
        <c:majorGridlines/>
        <c:numFmt formatCode="#,##0" sourceLinked="1"/>
        <c:tickLblPos val="nextTo"/>
        <c:crossAx val="139858688"/>
        <c:crosses val="autoZero"/>
        <c:crossBetween val="midCat"/>
      </c:valAx>
    </c:plotArea>
    <c:plotVisOnly val="1"/>
  </c:chart>
  <c:spPr>
    <a:ln>
      <a:noFill/>
    </a:ln>
  </c:spPr>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557084482698628"/>
          <c:y val="6.2553485799007408E-2"/>
          <c:w val="0.79382358909273376"/>
          <c:h val="0.79630123379455164"/>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analyza'!$A$881:$A$905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analyza'!$D$881:$D$905</c:f>
              <c:numCache>
                <c:formatCode>#,##0</c:formatCode>
                <c:ptCount val="25"/>
                <c:pt idx="0">
                  <c:v>232</c:v>
                </c:pt>
                <c:pt idx="1">
                  <c:v>225</c:v>
                </c:pt>
                <c:pt idx="2">
                  <c:v>190</c:v>
                </c:pt>
                <c:pt idx="3">
                  <c:v>180</c:v>
                </c:pt>
                <c:pt idx="4">
                  <c:v>176</c:v>
                </c:pt>
                <c:pt idx="5">
                  <c:v>163</c:v>
                </c:pt>
                <c:pt idx="6">
                  <c:v>156</c:v>
                </c:pt>
                <c:pt idx="7">
                  <c:v>152</c:v>
                </c:pt>
                <c:pt idx="8">
                  <c:v>176</c:v>
                </c:pt>
                <c:pt idx="9">
                  <c:v>178</c:v>
                </c:pt>
                <c:pt idx="10">
                  <c:v>180</c:v>
                </c:pt>
                <c:pt idx="11">
                  <c:v>188</c:v>
                </c:pt>
                <c:pt idx="12">
                  <c:v>187</c:v>
                </c:pt>
                <c:pt idx="13">
                  <c:v>183</c:v>
                </c:pt>
                <c:pt idx="14">
                  <c:v>181</c:v>
                </c:pt>
                <c:pt idx="15">
                  <c:v>174</c:v>
                </c:pt>
                <c:pt idx="16">
                  <c:v>162</c:v>
                </c:pt>
                <c:pt idx="17">
                  <c:v>157</c:v>
                </c:pt>
                <c:pt idx="18">
                  <c:v>147</c:v>
                </c:pt>
                <c:pt idx="19">
                  <c:v>147</c:v>
                </c:pt>
                <c:pt idx="20">
                  <c:v>149</c:v>
                </c:pt>
                <c:pt idx="21">
                  <c:v>150</c:v>
                </c:pt>
                <c:pt idx="22">
                  <c:v>151</c:v>
                </c:pt>
                <c:pt idx="23">
                  <c:v>147</c:v>
                </c:pt>
                <c:pt idx="24">
                  <c:v>143</c:v>
                </c:pt>
              </c:numCache>
            </c:numRef>
          </c:yVal>
          <c:smooth val="1"/>
        </c:ser>
        <c:axId val="144115584"/>
        <c:axId val="144117120"/>
      </c:scatterChart>
      <c:valAx>
        <c:axId val="144115584"/>
        <c:scaling>
          <c:orientation val="minMax"/>
          <c:max val="2020"/>
          <c:min val="1990"/>
        </c:scaling>
        <c:axPos val="b"/>
        <c:numFmt formatCode="General" sourceLinked="1"/>
        <c:tickLblPos val="nextTo"/>
        <c:crossAx val="144117120"/>
        <c:crosses val="autoZero"/>
        <c:crossBetween val="midCat"/>
      </c:valAx>
      <c:valAx>
        <c:axId val="144117120"/>
        <c:scaling>
          <c:orientation val="minMax"/>
          <c:min val="100"/>
        </c:scaling>
        <c:axPos val="l"/>
        <c:majorGridlines/>
        <c:numFmt formatCode="#,##0" sourceLinked="1"/>
        <c:tickLblPos val="nextTo"/>
        <c:crossAx val="144115584"/>
        <c:crosses val="autoZero"/>
        <c:crossBetween val="midCat"/>
      </c:valAx>
    </c:plotArea>
    <c:plotVisOnly val="1"/>
  </c:chart>
  <c:spPr>
    <a:ln>
      <a:noFill/>
    </a:ln>
  </c:spPr>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7105914849377681E-2"/>
          <c:y val="6.255351354996358E-2"/>
          <c:w val="0.82875824842844925"/>
          <c:h val="0.7963011434265177"/>
        </c:manualLayout>
      </c:layout>
      <c:scatterChart>
        <c:scatterStyle val="lineMarker"/>
        <c:ser>
          <c:idx val="0"/>
          <c:order val="0"/>
          <c:marker>
            <c:symbol val="none"/>
          </c:marker>
          <c:xVal>
            <c:numRef>
              <c:f>'ORP - analyza'!$A$881:$A$905</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analyza'!$C$881:$C$905</c:f>
              <c:numCache>
                <c:formatCode>#,##0</c:formatCode>
                <c:ptCount val="25"/>
                <c:pt idx="0">
                  <c:v>2</c:v>
                </c:pt>
                <c:pt idx="1">
                  <c:v>4</c:v>
                </c:pt>
                <c:pt idx="2">
                  <c:v>3</c:v>
                </c:pt>
                <c:pt idx="3">
                  <c:v>1</c:v>
                </c:pt>
                <c:pt idx="4">
                  <c:v>1</c:v>
                </c:pt>
                <c:pt idx="5">
                  <c:v>1</c:v>
                </c:pt>
                <c:pt idx="6">
                  <c:v>3</c:v>
                </c:pt>
                <c:pt idx="7">
                  <c:v>0</c:v>
                </c:pt>
                <c:pt idx="8">
                  <c:v>1</c:v>
                </c:pt>
                <c:pt idx="9">
                  <c:v>1</c:v>
                </c:pt>
                <c:pt idx="10">
                  <c:v>1</c:v>
                </c:pt>
                <c:pt idx="11">
                  <c:v>0</c:v>
                </c:pt>
                <c:pt idx="12">
                  <c:v>2</c:v>
                </c:pt>
                <c:pt idx="13">
                  <c:v>2</c:v>
                </c:pt>
                <c:pt idx="14">
                  <c:v>1</c:v>
                </c:pt>
                <c:pt idx="15">
                  <c:v>0</c:v>
                </c:pt>
                <c:pt idx="16">
                  <c:v>0</c:v>
                </c:pt>
                <c:pt idx="17">
                  <c:v>0</c:v>
                </c:pt>
                <c:pt idx="18">
                  <c:v>1</c:v>
                </c:pt>
                <c:pt idx="19">
                  <c:v>0</c:v>
                </c:pt>
                <c:pt idx="20">
                  <c:v>1</c:v>
                </c:pt>
                <c:pt idx="21">
                  <c:v>1</c:v>
                </c:pt>
                <c:pt idx="22">
                  <c:v>3</c:v>
                </c:pt>
                <c:pt idx="23">
                  <c:v>3</c:v>
                </c:pt>
                <c:pt idx="24">
                  <c:v>1</c:v>
                </c:pt>
              </c:numCache>
            </c:numRef>
          </c:yVal>
        </c:ser>
        <c:axId val="144156928"/>
        <c:axId val="144166912"/>
      </c:scatterChart>
      <c:valAx>
        <c:axId val="144156928"/>
        <c:scaling>
          <c:orientation val="minMax"/>
          <c:max val="2016"/>
          <c:min val="1990"/>
        </c:scaling>
        <c:axPos val="b"/>
        <c:numFmt formatCode="General" sourceLinked="1"/>
        <c:tickLblPos val="nextTo"/>
        <c:crossAx val="144166912"/>
        <c:crosses val="autoZero"/>
        <c:crossBetween val="midCat"/>
      </c:valAx>
      <c:valAx>
        <c:axId val="144166912"/>
        <c:scaling>
          <c:orientation val="minMax"/>
          <c:max val="5"/>
          <c:min val="0"/>
        </c:scaling>
        <c:axPos val="l"/>
        <c:majorGridlines/>
        <c:numFmt formatCode="#,##0" sourceLinked="1"/>
        <c:tickLblPos val="nextTo"/>
        <c:crossAx val="144156928"/>
        <c:crosses val="autoZero"/>
        <c:crossBetween val="midCat"/>
        <c:majorUnit val="1"/>
        <c:minorUnit val="1"/>
      </c:valAx>
    </c:plotArea>
    <c:plotVisOnly val="1"/>
  </c:chart>
  <c:spPr>
    <a:ln>
      <a:noFill/>
    </a:ln>
  </c:spPr>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3409727982073125"/>
          <c:y val="6.3451391748286082E-2"/>
          <c:w val="0.7960645896899935"/>
          <c:h val="0.7933772986740647"/>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analyza'!$A$1037:$A$1061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analyza'!$D$1037:$D$1061</c:f>
              <c:numCache>
                <c:formatCode>#,##0</c:formatCode>
                <c:ptCount val="25"/>
                <c:pt idx="0">
                  <c:v>155</c:v>
                </c:pt>
                <c:pt idx="1">
                  <c:v>153</c:v>
                </c:pt>
                <c:pt idx="2">
                  <c:v>148</c:v>
                </c:pt>
                <c:pt idx="3">
                  <c:v>146</c:v>
                </c:pt>
                <c:pt idx="4">
                  <c:v>143</c:v>
                </c:pt>
                <c:pt idx="5">
                  <c:v>142</c:v>
                </c:pt>
                <c:pt idx="6">
                  <c:v>139</c:v>
                </c:pt>
                <c:pt idx="7">
                  <c:v>139</c:v>
                </c:pt>
                <c:pt idx="8">
                  <c:v>139</c:v>
                </c:pt>
                <c:pt idx="9">
                  <c:v>133</c:v>
                </c:pt>
                <c:pt idx="10">
                  <c:v>127</c:v>
                </c:pt>
                <c:pt idx="11">
                  <c:v>124</c:v>
                </c:pt>
                <c:pt idx="12">
                  <c:v>121</c:v>
                </c:pt>
                <c:pt idx="13">
                  <c:v>118</c:v>
                </c:pt>
                <c:pt idx="14">
                  <c:v>118</c:v>
                </c:pt>
                <c:pt idx="15">
                  <c:v>119</c:v>
                </c:pt>
                <c:pt idx="16">
                  <c:v>116</c:v>
                </c:pt>
                <c:pt idx="17">
                  <c:v>113</c:v>
                </c:pt>
                <c:pt idx="18">
                  <c:v>109</c:v>
                </c:pt>
                <c:pt idx="19">
                  <c:v>106</c:v>
                </c:pt>
                <c:pt idx="20">
                  <c:v>110</c:v>
                </c:pt>
                <c:pt idx="21">
                  <c:v>109</c:v>
                </c:pt>
                <c:pt idx="22">
                  <c:v>103</c:v>
                </c:pt>
                <c:pt idx="23">
                  <c:v>107</c:v>
                </c:pt>
                <c:pt idx="24">
                  <c:v>103</c:v>
                </c:pt>
              </c:numCache>
            </c:numRef>
          </c:yVal>
          <c:smooth val="1"/>
        </c:ser>
        <c:axId val="144223616"/>
        <c:axId val="144319616"/>
      </c:scatterChart>
      <c:valAx>
        <c:axId val="144223616"/>
        <c:scaling>
          <c:orientation val="minMax"/>
          <c:max val="2020"/>
          <c:min val="1990"/>
        </c:scaling>
        <c:axPos val="b"/>
        <c:numFmt formatCode="General" sourceLinked="1"/>
        <c:tickLblPos val="nextTo"/>
        <c:crossAx val="144319616"/>
        <c:crosses val="autoZero"/>
        <c:crossBetween val="midCat"/>
      </c:valAx>
      <c:valAx>
        <c:axId val="144319616"/>
        <c:scaling>
          <c:orientation val="minMax"/>
          <c:min val="80"/>
        </c:scaling>
        <c:axPos val="l"/>
        <c:majorGridlines/>
        <c:numFmt formatCode="#,##0" sourceLinked="1"/>
        <c:tickLblPos val="nextTo"/>
        <c:crossAx val="144223616"/>
        <c:crosses val="autoZero"/>
        <c:crossBetween val="midCat"/>
      </c:valAx>
    </c:plotArea>
    <c:plotVisOnly val="1"/>
  </c:chart>
  <c:spPr>
    <a:ln>
      <a:noFill/>
    </a:ln>
  </c:spPr>
  <c:externalData r:id="rId1"/>
</c:chartSpace>
</file>

<file path=word/charts/chart96.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9.7480856682304162E-2"/>
          <c:y val="6.3451391748286082E-2"/>
          <c:w val="0.82809705599431771"/>
          <c:h val="0.7933772986740647"/>
        </c:manualLayout>
      </c:layout>
      <c:scatterChart>
        <c:scatterStyle val="lineMarker"/>
        <c:ser>
          <c:idx val="0"/>
          <c:order val="0"/>
          <c:marker>
            <c:symbol val="none"/>
          </c:marker>
          <c:xVal>
            <c:numRef>
              <c:f>'ORP - analyza'!$A$1037:$A$1061</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analyza'!$C$1037:$C$1061</c:f>
              <c:numCache>
                <c:formatCode>#,##0</c:formatCode>
                <c:ptCount val="25"/>
                <c:pt idx="0">
                  <c:v>3</c:v>
                </c:pt>
                <c:pt idx="1">
                  <c:v>0</c:v>
                </c:pt>
                <c:pt idx="2">
                  <c:v>1</c:v>
                </c:pt>
                <c:pt idx="3">
                  <c:v>1</c:v>
                </c:pt>
                <c:pt idx="4">
                  <c:v>1</c:v>
                </c:pt>
                <c:pt idx="5">
                  <c:v>1</c:v>
                </c:pt>
                <c:pt idx="6">
                  <c:v>0</c:v>
                </c:pt>
                <c:pt idx="7">
                  <c:v>0</c:v>
                </c:pt>
                <c:pt idx="8">
                  <c:v>0</c:v>
                </c:pt>
                <c:pt idx="9">
                  <c:v>2</c:v>
                </c:pt>
                <c:pt idx="10">
                  <c:v>0</c:v>
                </c:pt>
                <c:pt idx="11">
                  <c:v>0</c:v>
                </c:pt>
                <c:pt idx="12">
                  <c:v>1</c:v>
                </c:pt>
                <c:pt idx="13">
                  <c:v>1</c:v>
                </c:pt>
                <c:pt idx="14">
                  <c:v>1</c:v>
                </c:pt>
                <c:pt idx="15">
                  <c:v>1</c:v>
                </c:pt>
                <c:pt idx="16">
                  <c:v>1</c:v>
                </c:pt>
                <c:pt idx="17">
                  <c:v>0</c:v>
                </c:pt>
                <c:pt idx="18">
                  <c:v>0</c:v>
                </c:pt>
                <c:pt idx="19">
                  <c:v>2</c:v>
                </c:pt>
                <c:pt idx="20">
                  <c:v>0</c:v>
                </c:pt>
                <c:pt idx="21">
                  <c:v>0</c:v>
                </c:pt>
                <c:pt idx="22">
                  <c:v>2</c:v>
                </c:pt>
                <c:pt idx="23">
                  <c:v>0</c:v>
                </c:pt>
                <c:pt idx="24">
                  <c:v>2</c:v>
                </c:pt>
              </c:numCache>
            </c:numRef>
          </c:yVal>
        </c:ser>
        <c:axId val="144338944"/>
        <c:axId val="144340480"/>
      </c:scatterChart>
      <c:valAx>
        <c:axId val="144338944"/>
        <c:scaling>
          <c:orientation val="minMax"/>
          <c:max val="2016"/>
          <c:min val="1990"/>
        </c:scaling>
        <c:axPos val="b"/>
        <c:numFmt formatCode="General" sourceLinked="1"/>
        <c:tickLblPos val="nextTo"/>
        <c:crossAx val="144340480"/>
        <c:crosses val="autoZero"/>
        <c:crossBetween val="midCat"/>
      </c:valAx>
      <c:valAx>
        <c:axId val="144340480"/>
        <c:scaling>
          <c:orientation val="minMax"/>
          <c:max val="4"/>
          <c:min val="0"/>
        </c:scaling>
        <c:axPos val="l"/>
        <c:majorGridlines/>
        <c:numFmt formatCode="#,##0" sourceLinked="1"/>
        <c:tickLblPos val="nextTo"/>
        <c:crossAx val="144338944"/>
        <c:crosses val="autoZero"/>
        <c:crossBetween val="midCat"/>
        <c:majorUnit val="1"/>
        <c:minorUnit val="1"/>
      </c:valAx>
    </c:plotArea>
    <c:plotVisOnly val="1"/>
  </c:chart>
  <c:spPr>
    <a:ln>
      <a:noFill/>
    </a:ln>
  </c:spPr>
  <c:externalData r:id="rId1"/>
</c:chartSpace>
</file>

<file path=word/charts/chart9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6764145246011544"/>
          <c:y val="6.3451391748286082E-2"/>
          <c:w val="0.76175298145960524"/>
          <c:h val="0.7933772986740647"/>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analyza'!$A$1063:$A$1087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analyza'!$D$1063:$D$1087</c:f>
              <c:numCache>
                <c:formatCode>#,##0</c:formatCode>
                <c:ptCount val="25"/>
                <c:pt idx="0">
                  <c:v>2959</c:v>
                </c:pt>
                <c:pt idx="1">
                  <c:v>2976</c:v>
                </c:pt>
                <c:pt idx="2">
                  <c:v>2955</c:v>
                </c:pt>
                <c:pt idx="3">
                  <c:v>2966</c:v>
                </c:pt>
                <c:pt idx="4">
                  <c:v>2952</c:v>
                </c:pt>
                <c:pt idx="5">
                  <c:v>2998</c:v>
                </c:pt>
                <c:pt idx="6">
                  <c:v>3073</c:v>
                </c:pt>
                <c:pt idx="7">
                  <c:v>3100</c:v>
                </c:pt>
                <c:pt idx="8">
                  <c:v>3103</c:v>
                </c:pt>
                <c:pt idx="9">
                  <c:v>3093</c:v>
                </c:pt>
                <c:pt idx="10">
                  <c:v>3063</c:v>
                </c:pt>
                <c:pt idx="11">
                  <c:v>3069</c:v>
                </c:pt>
                <c:pt idx="12">
                  <c:v>3058</c:v>
                </c:pt>
                <c:pt idx="13">
                  <c:v>3059</c:v>
                </c:pt>
                <c:pt idx="14">
                  <c:v>3104</c:v>
                </c:pt>
                <c:pt idx="15">
                  <c:v>3117</c:v>
                </c:pt>
                <c:pt idx="16">
                  <c:v>3119</c:v>
                </c:pt>
                <c:pt idx="17">
                  <c:v>3114</c:v>
                </c:pt>
                <c:pt idx="18">
                  <c:v>3128</c:v>
                </c:pt>
                <c:pt idx="19">
                  <c:v>3131</c:v>
                </c:pt>
                <c:pt idx="20">
                  <c:v>3076</c:v>
                </c:pt>
                <c:pt idx="21">
                  <c:v>3092</c:v>
                </c:pt>
                <c:pt idx="22">
                  <c:v>3069</c:v>
                </c:pt>
                <c:pt idx="23">
                  <c:v>3055</c:v>
                </c:pt>
                <c:pt idx="24">
                  <c:v>3044</c:v>
                </c:pt>
              </c:numCache>
            </c:numRef>
          </c:yVal>
          <c:smooth val="1"/>
        </c:ser>
        <c:axId val="144381056"/>
        <c:axId val="144382592"/>
      </c:scatterChart>
      <c:valAx>
        <c:axId val="144381056"/>
        <c:scaling>
          <c:orientation val="minMax"/>
          <c:max val="2020"/>
          <c:min val="1990"/>
        </c:scaling>
        <c:axPos val="b"/>
        <c:numFmt formatCode="General" sourceLinked="1"/>
        <c:tickLblPos val="nextTo"/>
        <c:crossAx val="144382592"/>
        <c:crosses val="autoZero"/>
        <c:crossBetween val="midCat"/>
      </c:valAx>
      <c:valAx>
        <c:axId val="144382592"/>
        <c:scaling>
          <c:orientation val="minMax"/>
        </c:scaling>
        <c:axPos val="l"/>
        <c:majorGridlines/>
        <c:numFmt formatCode="#,##0" sourceLinked="1"/>
        <c:tickLblPos val="nextTo"/>
        <c:crossAx val="144381056"/>
        <c:crosses val="autoZero"/>
        <c:crossBetween val="midCat"/>
      </c:valAx>
    </c:plotArea>
    <c:plotVisOnly val="1"/>
  </c:chart>
  <c:spPr>
    <a:ln>
      <a:noFill/>
    </a:ln>
  </c:spPr>
  <c:externalData r:id="rId1"/>
</c:chartSpace>
</file>

<file path=word/charts/chart9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637221600128148"/>
          <c:y val="6.6976495858441384E-2"/>
          <c:w val="0.81116417473493363"/>
          <c:h val="0.7818981724701064"/>
        </c:manualLayout>
      </c:layout>
      <c:scatterChart>
        <c:scatterStyle val="lineMarker"/>
        <c:ser>
          <c:idx val="0"/>
          <c:order val="0"/>
          <c:marker>
            <c:symbol val="none"/>
          </c:marker>
          <c:xVal>
            <c:numRef>
              <c:f>'ORP - analyza'!$A$1063:$A$1087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analyza'!$C$1063:$C$1087</c:f>
              <c:numCache>
                <c:formatCode>#,##0</c:formatCode>
                <c:ptCount val="25"/>
                <c:pt idx="0">
                  <c:v>29</c:v>
                </c:pt>
                <c:pt idx="1">
                  <c:v>33</c:v>
                </c:pt>
                <c:pt idx="2">
                  <c:v>32</c:v>
                </c:pt>
                <c:pt idx="3">
                  <c:v>31</c:v>
                </c:pt>
                <c:pt idx="4">
                  <c:v>29</c:v>
                </c:pt>
                <c:pt idx="5">
                  <c:v>22</c:v>
                </c:pt>
                <c:pt idx="6">
                  <c:v>33</c:v>
                </c:pt>
                <c:pt idx="7">
                  <c:v>33</c:v>
                </c:pt>
                <c:pt idx="8">
                  <c:v>31</c:v>
                </c:pt>
                <c:pt idx="9">
                  <c:v>30</c:v>
                </c:pt>
                <c:pt idx="10">
                  <c:v>32</c:v>
                </c:pt>
                <c:pt idx="11">
                  <c:v>32</c:v>
                </c:pt>
                <c:pt idx="12">
                  <c:v>26</c:v>
                </c:pt>
                <c:pt idx="13">
                  <c:v>35</c:v>
                </c:pt>
                <c:pt idx="14">
                  <c:v>34</c:v>
                </c:pt>
                <c:pt idx="15">
                  <c:v>38</c:v>
                </c:pt>
                <c:pt idx="16">
                  <c:v>28</c:v>
                </c:pt>
                <c:pt idx="17">
                  <c:v>38</c:v>
                </c:pt>
                <c:pt idx="18">
                  <c:v>38</c:v>
                </c:pt>
                <c:pt idx="19">
                  <c:v>37</c:v>
                </c:pt>
                <c:pt idx="20">
                  <c:v>38</c:v>
                </c:pt>
                <c:pt idx="21">
                  <c:v>40</c:v>
                </c:pt>
                <c:pt idx="22">
                  <c:v>29</c:v>
                </c:pt>
                <c:pt idx="23">
                  <c:v>25</c:v>
                </c:pt>
                <c:pt idx="24">
                  <c:v>34</c:v>
                </c:pt>
              </c:numCache>
            </c:numRef>
          </c:yVal>
        </c:ser>
        <c:axId val="144418304"/>
        <c:axId val="144419840"/>
      </c:scatterChart>
      <c:valAx>
        <c:axId val="144418304"/>
        <c:scaling>
          <c:orientation val="minMax"/>
          <c:max val="2016"/>
          <c:min val="1990"/>
        </c:scaling>
        <c:axPos val="b"/>
        <c:numFmt formatCode="General" sourceLinked="1"/>
        <c:tickLblPos val="nextTo"/>
        <c:crossAx val="144419840"/>
        <c:crosses val="autoZero"/>
        <c:crossBetween val="midCat"/>
      </c:valAx>
      <c:valAx>
        <c:axId val="144419840"/>
        <c:scaling>
          <c:orientation val="minMax"/>
          <c:max val="45"/>
          <c:min val="15"/>
        </c:scaling>
        <c:axPos val="l"/>
        <c:majorGridlines/>
        <c:numFmt formatCode="#,##0" sourceLinked="1"/>
        <c:tickLblPos val="nextTo"/>
        <c:crossAx val="144418304"/>
        <c:crosses val="autoZero"/>
        <c:crossBetween val="midCat"/>
      </c:valAx>
    </c:plotArea>
    <c:plotVisOnly val="1"/>
  </c:chart>
  <c:spPr>
    <a:ln>
      <a:noFill/>
    </a:ln>
  </c:spPr>
  <c:externalData r:id="rId1"/>
</c:chartSpace>
</file>

<file path=word/charts/chart99.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2850988038901739"/>
          <c:y val="6.8357447171593255E-2"/>
          <c:w val="0.80456191787737941"/>
          <c:h val="0.77740125155377793"/>
        </c:manualLayout>
      </c:layout>
      <c:scatterChart>
        <c:scatterStyle val="smoothMarker"/>
        <c:ser>
          <c:idx val="0"/>
          <c:order val="0"/>
          <c:marker>
            <c:symbol val="none"/>
          </c:marker>
          <c:trendline>
            <c:trendlineType val="poly"/>
            <c:order val="2"/>
            <c:forward val="5"/>
            <c:dispRSqr val="1"/>
            <c:trendlineLbl>
              <c:numFmt formatCode="General" sourceLinked="0"/>
            </c:trendlineLbl>
          </c:trendline>
          <c:xVal>
            <c:numRef>
              <c:f>'ORP - analyza'!$A$1193:$A$1217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'ORP - analyza'!$D$1193:$D$1217</c:f>
              <c:numCache>
                <c:formatCode>#,##0</c:formatCode>
                <c:ptCount val="25"/>
                <c:pt idx="0">
                  <c:v>531</c:v>
                </c:pt>
                <c:pt idx="1">
                  <c:v>523</c:v>
                </c:pt>
                <c:pt idx="2">
                  <c:v>528</c:v>
                </c:pt>
                <c:pt idx="3">
                  <c:v>517</c:v>
                </c:pt>
                <c:pt idx="4">
                  <c:v>512</c:v>
                </c:pt>
                <c:pt idx="5">
                  <c:v>523</c:v>
                </c:pt>
                <c:pt idx="6">
                  <c:v>513</c:v>
                </c:pt>
                <c:pt idx="7">
                  <c:v>515</c:v>
                </c:pt>
                <c:pt idx="8">
                  <c:v>513</c:v>
                </c:pt>
                <c:pt idx="9">
                  <c:v>521</c:v>
                </c:pt>
                <c:pt idx="10">
                  <c:v>519</c:v>
                </c:pt>
                <c:pt idx="11">
                  <c:v>512</c:v>
                </c:pt>
                <c:pt idx="12">
                  <c:v>504</c:v>
                </c:pt>
                <c:pt idx="13">
                  <c:v>501</c:v>
                </c:pt>
                <c:pt idx="14">
                  <c:v>499</c:v>
                </c:pt>
                <c:pt idx="15">
                  <c:v>488</c:v>
                </c:pt>
                <c:pt idx="16">
                  <c:v>489</c:v>
                </c:pt>
                <c:pt idx="17">
                  <c:v>489</c:v>
                </c:pt>
                <c:pt idx="18">
                  <c:v>505</c:v>
                </c:pt>
                <c:pt idx="19">
                  <c:v>485</c:v>
                </c:pt>
                <c:pt idx="20">
                  <c:v>475</c:v>
                </c:pt>
                <c:pt idx="21">
                  <c:v>483</c:v>
                </c:pt>
                <c:pt idx="22">
                  <c:v>484</c:v>
                </c:pt>
                <c:pt idx="23">
                  <c:v>474</c:v>
                </c:pt>
                <c:pt idx="24">
                  <c:v>467</c:v>
                </c:pt>
              </c:numCache>
            </c:numRef>
          </c:yVal>
          <c:smooth val="1"/>
        </c:ser>
        <c:axId val="144472704"/>
        <c:axId val="144474496"/>
      </c:scatterChart>
      <c:valAx>
        <c:axId val="144472704"/>
        <c:scaling>
          <c:orientation val="minMax"/>
          <c:max val="2020"/>
          <c:min val="1990"/>
        </c:scaling>
        <c:axPos val="b"/>
        <c:numFmt formatCode="General" sourceLinked="1"/>
        <c:tickLblPos val="nextTo"/>
        <c:crossAx val="144474496"/>
        <c:crosses val="autoZero"/>
        <c:crossBetween val="midCat"/>
      </c:valAx>
      <c:valAx>
        <c:axId val="144474496"/>
        <c:scaling>
          <c:orientation val="minMax"/>
        </c:scaling>
        <c:axPos val="l"/>
        <c:majorGridlines/>
        <c:numFmt formatCode="#,##0" sourceLinked="1"/>
        <c:tickLblPos val="nextTo"/>
        <c:crossAx val="144472704"/>
        <c:crosses val="autoZero"/>
        <c:crossBetween val="midCat"/>
      </c:valAx>
    </c:plotArea>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01716-1DB1-4AAC-8B84-20A6F603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77</Pages>
  <Words>23682</Words>
  <Characters>139727</Characters>
  <Application>Microsoft Office Word</Application>
  <DocSecurity>0</DocSecurity>
  <Lines>1164</Lines>
  <Paragraphs>326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Holub</dc:creator>
  <cp:lastModifiedBy>Holub</cp:lastModifiedBy>
  <cp:revision>61</cp:revision>
  <cp:lastPrinted>2016-06-13T13:19:00Z</cp:lastPrinted>
  <dcterms:created xsi:type="dcterms:W3CDTF">2016-05-03T01:35:00Z</dcterms:created>
  <dcterms:modified xsi:type="dcterms:W3CDTF">2016-10-30T11:08:00Z</dcterms:modified>
</cp:coreProperties>
</file>