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A2A" w:rsidRPr="00A64A2A" w:rsidRDefault="00A64A2A" w:rsidP="00A64A2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Calibri" w:hAnsi="Verdana"/>
          <w:b/>
          <w:bCs/>
          <w:sz w:val="20"/>
          <w:szCs w:val="16"/>
        </w:rPr>
      </w:pPr>
      <w:r w:rsidRPr="00A64A2A">
        <w:rPr>
          <w:rFonts w:ascii="Verdana" w:eastAsia="Calibri" w:hAnsi="Verdana"/>
          <w:b/>
          <w:bCs/>
          <w:sz w:val="20"/>
          <w:szCs w:val="16"/>
        </w:rPr>
        <w:t xml:space="preserve">Doložení odvedeného </w:t>
      </w:r>
      <w:r w:rsidR="00FB519B">
        <w:rPr>
          <w:rFonts w:ascii="Verdana" w:eastAsia="Calibri" w:hAnsi="Verdana"/>
          <w:b/>
          <w:bCs/>
          <w:sz w:val="20"/>
          <w:szCs w:val="16"/>
        </w:rPr>
        <w:t>sociálního pojištění za rok 2021</w:t>
      </w:r>
    </w:p>
    <w:p w:rsidR="00A64A2A" w:rsidRDefault="00A64A2A" w:rsidP="00A64A2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Calibri" w:hAnsi="Verdana"/>
          <w:bCs/>
          <w:sz w:val="20"/>
          <w:szCs w:val="16"/>
        </w:rPr>
      </w:pPr>
    </w:p>
    <w:p w:rsidR="00A64A2A" w:rsidRPr="00A64A2A" w:rsidRDefault="00A64A2A" w:rsidP="00A64A2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Calibri" w:hAnsi="Verdana"/>
          <w:bCs/>
          <w:sz w:val="20"/>
          <w:szCs w:val="16"/>
        </w:rPr>
      </w:pPr>
      <w:r w:rsidRPr="00A64A2A">
        <w:rPr>
          <w:rFonts w:ascii="Verdana" w:eastAsia="Calibri" w:hAnsi="Verdana"/>
          <w:bCs/>
          <w:sz w:val="20"/>
          <w:szCs w:val="16"/>
        </w:rPr>
        <w:t xml:space="preserve">Kontrola odvodů bude provedena </w:t>
      </w:r>
      <w:r w:rsidR="00FB519B">
        <w:rPr>
          <w:rFonts w:ascii="Verdana" w:eastAsia="Calibri" w:hAnsi="Verdana"/>
          <w:bCs/>
          <w:sz w:val="20"/>
          <w:szCs w:val="16"/>
        </w:rPr>
        <w:t>z dokumentů pro ČSSZ za rok 2021</w:t>
      </w:r>
      <w:r w:rsidRPr="00A64A2A">
        <w:rPr>
          <w:rFonts w:ascii="Verdana" w:eastAsia="Calibri" w:hAnsi="Verdana"/>
          <w:bCs/>
          <w:sz w:val="20"/>
          <w:szCs w:val="16"/>
        </w:rPr>
        <w:t>:</w:t>
      </w:r>
    </w:p>
    <w:p w:rsidR="00A64A2A" w:rsidRPr="000B2B95" w:rsidRDefault="00A64A2A" w:rsidP="000B2B9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Verdana" w:eastAsia="Calibri" w:hAnsi="Verdana"/>
          <w:bCs/>
          <w:sz w:val="20"/>
          <w:szCs w:val="16"/>
        </w:rPr>
      </w:pPr>
      <w:r w:rsidRPr="00A64A2A">
        <w:rPr>
          <w:rFonts w:ascii="Verdana" w:eastAsia="Calibri" w:hAnsi="Verdana"/>
          <w:bCs/>
          <w:sz w:val="20"/>
          <w:szCs w:val="16"/>
        </w:rPr>
        <w:t>v případě právnické osoby budou ověřeny Přehledy o výši pojistného, které jsou každý měsíc překládány na místně příslušnou OSSZ – v ta</w:t>
      </w:r>
      <w:r w:rsidR="000B2B95">
        <w:rPr>
          <w:rFonts w:ascii="Verdana" w:eastAsia="Calibri" w:hAnsi="Verdana"/>
          <w:bCs/>
          <w:sz w:val="20"/>
          <w:szCs w:val="16"/>
        </w:rPr>
        <w:t>kovém případě se sečte údaj v poli</w:t>
      </w:r>
      <w:r w:rsidRPr="00A64A2A">
        <w:rPr>
          <w:rFonts w:ascii="Verdana" w:eastAsia="Calibri" w:hAnsi="Verdana"/>
          <w:bCs/>
          <w:sz w:val="20"/>
          <w:szCs w:val="16"/>
        </w:rPr>
        <w:t xml:space="preserve"> „Pojistné </w:t>
      </w:r>
      <w:r w:rsidR="00FB519B">
        <w:rPr>
          <w:rFonts w:ascii="Verdana" w:eastAsia="Calibri" w:hAnsi="Verdana"/>
          <w:bCs/>
          <w:sz w:val="20"/>
          <w:szCs w:val="16"/>
        </w:rPr>
        <w:t>celkem“ za každý měsíc roku 2021</w:t>
      </w:r>
      <w:r w:rsidR="000B2B95">
        <w:rPr>
          <w:rFonts w:ascii="Verdana" w:eastAsia="Calibri" w:hAnsi="Verdana"/>
          <w:bCs/>
          <w:sz w:val="20"/>
          <w:szCs w:val="16"/>
        </w:rPr>
        <w:t>; předložený dokument by měl být potvrzen OSSZ (razítko, podpis, nebo doložka z datové schránky)</w:t>
      </w:r>
    </w:p>
    <w:p w:rsidR="00A64A2A" w:rsidRPr="00A64A2A" w:rsidRDefault="00A64A2A" w:rsidP="00A64A2A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Verdana" w:eastAsia="Calibri" w:hAnsi="Verdana"/>
          <w:bCs/>
          <w:sz w:val="20"/>
          <w:szCs w:val="16"/>
        </w:rPr>
      </w:pPr>
      <w:r w:rsidRPr="00A64A2A">
        <w:rPr>
          <w:rFonts w:ascii="Verdana" w:eastAsia="Calibri" w:hAnsi="Verdana"/>
          <w:bCs/>
          <w:sz w:val="20"/>
          <w:szCs w:val="16"/>
        </w:rPr>
        <w:t>v případě OSVČ je subjektem na místně příslušnou OSSZ předkládán Přehled o příjmech a výdajích OSVČ jedenkrát za rok, subjekt hradí pojištění formou záloh; ověření bude provedeno na Př</w:t>
      </w:r>
      <w:r w:rsidR="000B2B95">
        <w:rPr>
          <w:rFonts w:ascii="Verdana" w:eastAsia="Calibri" w:hAnsi="Verdana"/>
          <w:bCs/>
          <w:sz w:val="20"/>
          <w:szCs w:val="16"/>
        </w:rPr>
        <w:t xml:space="preserve">ehled o příjmech a výdajích – řádek </w:t>
      </w:r>
      <w:r w:rsidRPr="00A64A2A">
        <w:rPr>
          <w:rFonts w:ascii="Verdana" w:eastAsia="Calibri" w:hAnsi="Verdana"/>
          <w:bCs/>
          <w:sz w:val="20"/>
          <w:szCs w:val="16"/>
        </w:rPr>
        <w:t>„Pojistné na DP“ a tzv. „Vyúčtování“ údaj „Pojistné z VZ ze SVČ OSVČ“, které OSSZ zasílá</w:t>
      </w:r>
      <w:r w:rsidR="004E774A">
        <w:rPr>
          <w:rFonts w:ascii="Verdana" w:eastAsia="Calibri" w:hAnsi="Verdana"/>
          <w:bCs/>
          <w:sz w:val="20"/>
          <w:szCs w:val="16"/>
        </w:rPr>
        <w:t xml:space="preserve"> každému subjektu za daný rok;</w:t>
      </w:r>
      <w:r w:rsidR="000B2B95">
        <w:rPr>
          <w:rFonts w:ascii="Verdana" w:eastAsia="Calibri" w:hAnsi="Verdana"/>
          <w:bCs/>
          <w:sz w:val="20"/>
          <w:szCs w:val="16"/>
        </w:rPr>
        <w:t xml:space="preserve"> předložený dokument by měl být potvrzen OSSZ (razítko, podpis, nebo doložka z datové schránky)</w:t>
      </w:r>
    </w:p>
    <w:p w:rsidR="00A64A2A" w:rsidRPr="00A64A2A" w:rsidRDefault="00A64A2A" w:rsidP="00A64A2A">
      <w:pPr>
        <w:autoSpaceDE w:val="0"/>
        <w:autoSpaceDN w:val="0"/>
        <w:adjustRightInd w:val="0"/>
        <w:jc w:val="both"/>
        <w:rPr>
          <w:rFonts w:ascii="Verdana" w:eastAsia="Calibri" w:hAnsi="Verdana"/>
          <w:bCs/>
          <w:sz w:val="20"/>
          <w:szCs w:val="16"/>
        </w:rPr>
      </w:pPr>
      <w:r w:rsidRPr="00A64A2A">
        <w:rPr>
          <w:rFonts w:ascii="Verdana" w:eastAsia="Calibri" w:hAnsi="Verdana"/>
          <w:bCs/>
          <w:sz w:val="20"/>
          <w:szCs w:val="16"/>
        </w:rPr>
        <w:t>Obecně:</w:t>
      </w:r>
    </w:p>
    <w:p w:rsidR="00A64A2A" w:rsidRPr="00A64A2A" w:rsidRDefault="00A64A2A" w:rsidP="00A64A2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Calibri" w:hAnsi="Verdana"/>
          <w:bCs/>
          <w:sz w:val="20"/>
          <w:szCs w:val="16"/>
        </w:rPr>
      </w:pPr>
      <w:r w:rsidRPr="00A64A2A">
        <w:rPr>
          <w:rFonts w:ascii="Verdana" w:eastAsia="Calibri" w:hAnsi="Verdana"/>
          <w:bCs/>
          <w:sz w:val="20"/>
          <w:szCs w:val="16"/>
        </w:rPr>
        <w:t>Sociální pojištění odvádí zaměstnavatel na OSSZ v souhrnné částce jak za seb</w:t>
      </w:r>
      <w:r w:rsidR="00F74002">
        <w:rPr>
          <w:rFonts w:ascii="Verdana" w:eastAsia="Calibri" w:hAnsi="Verdana"/>
          <w:bCs/>
          <w:sz w:val="20"/>
          <w:szCs w:val="16"/>
        </w:rPr>
        <w:t>e (24,8</w:t>
      </w:r>
      <w:r w:rsidRPr="00A64A2A">
        <w:rPr>
          <w:rFonts w:ascii="Verdana" w:eastAsia="Calibri" w:hAnsi="Verdana"/>
          <w:bCs/>
          <w:sz w:val="20"/>
          <w:szCs w:val="16"/>
        </w:rPr>
        <w:t>%) tak za své zaměs</w:t>
      </w:r>
      <w:r w:rsidR="00F74002">
        <w:rPr>
          <w:rFonts w:ascii="Verdana" w:eastAsia="Calibri" w:hAnsi="Verdana"/>
          <w:bCs/>
          <w:sz w:val="20"/>
          <w:szCs w:val="16"/>
        </w:rPr>
        <w:t>tnance (6,5%), tedy ve výši 31,3</w:t>
      </w:r>
      <w:r w:rsidRPr="00A64A2A">
        <w:rPr>
          <w:rFonts w:ascii="Verdana" w:eastAsia="Calibri" w:hAnsi="Verdana"/>
          <w:bCs/>
          <w:sz w:val="20"/>
          <w:szCs w:val="16"/>
        </w:rPr>
        <w:t>%;</w:t>
      </w:r>
    </w:p>
    <w:p w:rsidR="00A64A2A" w:rsidRPr="00A64A2A" w:rsidRDefault="00A64A2A" w:rsidP="00A64A2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Calibri" w:hAnsi="Verdana"/>
          <w:bCs/>
          <w:sz w:val="20"/>
          <w:szCs w:val="16"/>
        </w:rPr>
      </w:pPr>
      <w:r w:rsidRPr="00A64A2A">
        <w:rPr>
          <w:rFonts w:ascii="Verdana" w:eastAsia="Calibri" w:hAnsi="Verdana"/>
          <w:bCs/>
          <w:sz w:val="20"/>
          <w:szCs w:val="16"/>
        </w:rPr>
        <w:t>Odvody se posuzují za konkrétní RČ/IČ žadatele;</w:t>
      </w:r>
    </w:p>
    <w:p w:rsidR="00A64A2A" w:rsidRPr="00A64A2A" w:rsidRDefault="00A64A2A" w:rsidP="00A64A2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Calibri" w:hAnsi="Verdana"/>
          <w:bCs/>
          <w:sz w:val="20"/>
          <w:szCs w:val="16"/>
        </w:rPr>
      </w:pPr>
      <w:r w:rsidRPr="00A64A2A">
        <w:rPr>
          <w:rFonts w:ascii="Verdana" w:eastAsia="Calibri" w:hAnsi="Verdana"/>
          <w:bCs/>
          <w:sz w:val="20"/>
          <w:szCs w:val="16"/>
        </w:rPr>
        <w:t>Neřeší se, za jaké zaměstnance je tato částka odváděna;</w:t>
      </w:r>
    </w:p>
    <w:p w:rsidR="00A64A2A" w:rsidRPr="00A64A2A" w:rsidRDefault="00A64A2A" w:rsidP="00A64A2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Calibri" w:hAnsi="Verdana"/>
          <w:bCs/>
          <w:sz w:val="20"/>
          <w:szCs w:val="16"/>
        </w:rPr>
      </w:pPr>
      <w:r w:rsidRPr="00A64A2A">
        <w:rPr>
          <w:rFonts w:ascii="Verdana" w:eastAsia="Calibri" w:hAnsi="Verdana"/>
          <w:bCs/>
          <w:sz w:val="20"/>
          <w:szCs w:val="16"/>
        </w:rPr>
        <w:t>Nezohledňují se nedoplatky nebo přeplatky</w:t>
      </w:r>
      <w:r w:rsidR="00311A5B">
        <w:rPr>
          <w:rFonts w:ascii="Verdana" w:eastAsia="Calibri" w:hAnsi="Verdana"/>
          <w:bCs/>
          <w:sz w:val="20"/>
          <w:szCs w:val="16"/>
        </w:rPr>
        <w:t>;</w:t>
      </w:r>
    </w:p>
    <w:p w:rsidR="00A64A2A" w:rsidRPr="00A64A2A" w:rsidRDefault="00A64A2A" w:rsidP="00A64A2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Calibri" w:hAnsi="Verdana"/>
          <w:bCs/>
          <w:sz w:val="20"/>
          <w:szCs w:val="16"/>
        </w:rPr>
      </w:pPr>
      <w:r w:rsidRPr="00A64A2A">
        <w:rPr>
          <w:rFonts w:ascii="Verdana" w:eastAsia="Calibri" w:hAnsi="Verdana"/>
          <w:bCs/>
          <w:sz w:val="20"/>
          <w:szCs w:val="16"/>
        </w:rPr>
        <w:t>Nezáleží na tom, zda bylo pojištění uhrazeno ve zkoumaném roce nebo roce následujícím</w:t>
      </w:r>
      <w:r w:rsidR="00311A5B">
        <w:rPr>
          <w:rFonts w:ascii="Verdana" w:eastAsia="Calibri" w:hAnsi="Verdana"/>
          <w:bCs/>
          <w:sz w:val="20"/>
          <w:szCs w:val="16"/>
        </w:rPr>
        <w:t>;</w:t>
      </w:r>
    </w:p>
    <w:p w:rsidR="00A64A2A" w:rsidRPr="00A64A2A" w:rsidRDefault="00A64A2A" w:rsidP="00A64A2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Calibri" w:hAnsi="Verdana"/>
          <w:bCs/>
          <w:sz w:val="20"/>
          <w:szCs w:val="16"/>
        </w:rPr>
      </w:pPr>
      <w:r w:rsidRPr="00A64A2A">
        <w:rPr>
          <w:rFonts w:ascii="Verdana" w:eastAsia="Calibri" w:hAnsi="Verdana"/>
          <w:bCs/>
          <w:sz w:val="20"/>
          <w:szCs w:val="16"/>
        </w:rPr>
        <w:t>Pokud je žadatel ještě zaměstnán někde jinde, pak to nesouvisí s jeho odvody za jeho podnikání (resp. jeho  RČ/IČ) a tato částka se nezapočítává (pojistné za něj odvádí někdo jiný)</w:t>
      </w:r>
      <w:r w:rsidR="00311A5B">
        <w:rPr>
          <w:rFonts w:ascii="Verdana" w:eastAsia="Calibri" w:hAnsi="Verdana"/>
          <w:bCs/>
          <w:sz w:val="20"/>
          <w:szCs w:val="16"/>
        </w:rPr>
        <w:t>;</w:t>
      </w:r>
    </w:p>
    <w:p w:rsidR="009670F7" w:rsidRPr="005C1910" w:rsidRDefault="00A64A2A" w:rsidP="005C191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Calibri" w:hAnsi="Verdana"/>
          <w:bCs/>
          <w:sz w:val="20"/>
          <w:szCs w:val="16"/>
        </w:rPr>
      </w:pPr>
      <w:r w:rsidRPr="00A64A2A">
        <w:rPr>
          <w:rFonts w:ascii="Verdana" w:eastAsia="Calibri" w:hAnsi="Verdana"/>
          <w:bCs/>
          <w:sz w:val="20"/>
          <w:szCs w:val="16"/>
        </w:rPr>
        <w:t>V případě, že je žadatel OSVČ a současně zaměstnává jiné osoby, lze odvody, které mu vznikly jako na OSVČ a pojistné, které odvádí jako zaměstnavatel, sečíst</w:t>
      </w:r>
      <w:r w:rsidR="00311A5B">
        <w:rPr>
          <w:rFonts w:ascii="Verdana" w:eastAsia="Calibri" w:hAnsi="Verdana"/>
          <w:bCs/>
          <w:sz w:val="20"/>
          <w:szCs w:val="16"/>
        </w:rPr>
        <w:t>;</w:t>
      </w:r>
      <w:r w:rsidR="005C1910">
        <w:rPr>
          <w:rFonts w:ascii="Verdana" w:eastAsia="Calibri" w:hAnsi="Verdana"/>
          <w:bCs/>
          <w:sz w:val="20"/>
          <w:szCs w:val="16"/>
        </w:rPr>
        <w:t xml:space="preserve"> zároveň lze přičíst i odvody osoby spolupracující</w:t>
      </w:r>
      <w:r w:rsidR="00DB2335">
        <w:rPr>
          <w:rFonts w:ascii="Verdana" w:eastAsia="Calibri" w:hAnsi="Verdana"/>
          <w:bCs/>
          <w:sz w:val="20"/>
          <w:szCs w:val="16"/>
        </w:rPr>
        <w:t>,</w:t>
      </w:r>
      <w:r w:rsidR="005C1910">
        <w:rPr>
          <w:rFonts w:ascii="Verdana" w:eastAsia="Calibri" w:hAnsi="Verdana"/>
          <w:bCs/>
          <w:sz w:val="20"/>
          <w:szCs w:val="16"/>
        </w:rPr>
        <w:t xml:space="preserve"> pokud</w:t>
      </w:r>
      <w:r w:rsidR="00DB2335">
        <w:rPr>
          <w:rFonts w:ascii="Verdana" w:eastAsia="Calibri" w:hAnsi="Verdana"/>
          <w:bCs/>
          <w:sz w:val="20"/>
          <w:szCs w:val="16"/>
        </w:rPr>
        <w:t xml:space="preserve"> nepodniká pod vlastním IČ</w:t>
      </w:r>
      <w:r w:rsidR="005C1910">
        <w:rPr>
          <w:rFonts w:ascii="Verdana" w:eastAsia="Calibri" w:hAnsi="Verdana"/>
          <w:bCs/>
          <w:sz w:val="20"/>
          <w:szCs w:val="16"/>
        </w:rPr>
        <w:t xml:space="preserve"> </w:t>
      </w:r>
    </w:p>
    <w:p w:rsidR="00A64A2A" w:rsidRPr="00A64A2A" w:rsidRDefault="00A64A2A">
      <w:pPr>
        <w:rPr>
          <w:sz w:val="28"/>
        </w:rPr>
      </w:pPr>
      <w:bookmarkStart w:id="0" w:name="_GoBack"/>
      <w:bookmarkEnd w:id="0"/>
    </w:p>
    <w:sectPr w:rsidR="00A64A2A" w:rsidRPr="00A64A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944FD"/>
    <w:multiLevelType w:val="hybridMultilevel"/>
    <w:tmpl w:val="E5B609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687131"/>
    <w:multiLevelType w:val="hybridMultilevel"/>
    <w:tmpl w:val="E9DE9F90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2EFCC7E8">
      <w:start w:val="1"/>
      <w:numFmt w:val="bullet"/>
      <w:lvlText w:val="-"/>
      <w:lvlJc w:val="left"/>
      <w:pPr>
        <w:ind w:left="2160" w:hanging="360"/>
      </w:pPr>
      <w:rPr>
        <w:rFonts w:ascii="Verdana" w:eastAsia="Times New Roman" w:hAnsi="Verdana" w:cs="Times New Roman" w:hint="default"/>
        <w:sz w:val="18"/>
        <w:szCs w:val="18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A2A"/>
    <w:rsid w:val="000B2B95"/>
    <w:rsid w:val="001A686D"/>
    <w:rsid w:val="001C445D"/>
    <w:rsid w:val="00311A5B"/>
    <w:rsid w:val="004E774A"/>
    <w:rsid w:val="00501E73"/>
    <w:rsid w:val="005C1910"/>
    <w:rsid w:val="007513B3"/>
    <w:rsid w:val="00823C10"/>
    <w:rsid w:val="008C1D27"/>
    <w:rsid w:val="008E5A85"/>
    <w:rsid w:val="009670F7"/>
    <w:rsid w:val="00A64A2A"/>
    <w:rsid w:val="00DB2335"/>
    <w:rsid w:val="00EB509A"/>
    <w:rsid w:val="00F74002"/>
    <w:rsid w:val="00FB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4A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E5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5A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4A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E5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5A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9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241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4</cp:revision>
  <cp:lastPrinted>2022-02-17T11:59:00Z</cp:lastPrinted>
  <dcterms:created xsi:type="dcterms:W3CDTF">2022-05-03T08:03:00Z</dcterms:created>
  <dcterms:modified xsi:type="dcterms:W3CDTF">2022-08-10T09:03:00Z</dcterms:modified>
</cp:coreProperties>
</file>